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514C" w14:textId="7F34BE47" w:rsidR="00936C22" w:rsidRPr="00A941A6" w:rsidRDefault="00936C22">
      <w:pPr>
        <w:rPr>
          <w:rFonts w:ascii="Palatino Linotype" w:hAnsi="Palatino Linotype"/>
        </w:rPr>
      </w:pPr>
      <w:bookmarkStart w:id="0" w:name="_GoBack"/>
      <w:bookmarkEnd w:id="0"/>
      <w:r w:rsidRPr="000878C0">
        <w:rPr>
          <w:rFonts w:ascii="Palatino Linotype" w:hAnsi="Palatino Linotype"/>
        </w:rPr>
        <w:t xml:space="preserve">The UA currently accepts three measures of English language proficiency for the admission, enrollment, and assistantship qualifications for non-native English speakers:  </w:t>
      </w:r>
      <w:proofErr w:type="spellStart"/>
      <w:r w:rsidRPr="000878C0">
        <w:rPr>
          <w:rFonts w:ascii="Palatino Linotype" w:hAnsi="Palatino Linotype"/>
        </w:rPr>
        <w:t>iBT</w:t>
      </w:r>
      <w:proofErr w:type="spellEnd"/>
      <w:r w:rsidRPr="000878C0">
        <w:rPr>
          <w:rFonts w:ascii="Palatino Linotype" w:hAnsi="Palatino Linotype"/>
        </w:rPr>
        <w:t xml:space="preserve"> TOEFL (internet- based Test of English as a Foreign Language), IELTS (International English Language Testing System), and the PTE-A (Pearson Test of English-Academic). </w:t>
      </w:r>
      <w:hyperlink r:id="rId6" w:history="1">
        <w:r w:rsidRPr="000878C0">
          <w:rPr>
            <w:rStyle w:val="Hyperlink"/>
            <w:rFonts w:ascii="Palatino Linotype" w:hAnsi="Palatino Linotype"/>
          </w:rPr>
          <w:t>https://international-admissions.uark.edu/graduate-studies/english-proficiency.php</w:t>
        </w:r>
      </w:hyperlink>
      <w:r w:rsidRPr="000878C0">
        <w:rPr>
          <w:rFonts w:ascii="Palatino Linotype" w:hAnsi="Palatino Linotype"/>
        </w:rPr>
        <w:t xml:space="preserve"> </w:t>
      </w:r>
    </w:p>
    <w:p w14:paraId="554D6F77" w14:textId="09993AB3" w:rsidR="00AC63DB" w:rsidRDefault="0095657C" w:rsidP="00A941A6">
      <w:pPr>
        <w:pStyle w:val="NoSpacing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The </w:t>
      </w:r>
      <w:r w:rsidR="000878C0" w:rsidRPr="00B629F0">
        <w:rPr>
          <w:rFonts w:ascii="Palatino Linotype" w:hAnsi="Palatino Linotype"/>
          <w:b/>
          <w:bCs/>
        </w:rPr>
        <w:t xml:space="preserve">UA English as a Second Language Committee </w:t>
      </w:r>
      <w:r>
        <w:rPr>
          <w:rFonts w:ascii="Palatino Linotype" w:hAnsi="Palatino Linotype"/>
          <w:b/>
          <w:bCs/>
        </w:rPr>
        <w:t>proposes approval to accept:</w:t>
      </w:r>
    </w:p>
    <w:p w14:paraId="566DA072" w14:textId="77777777" w:rsidR="0095657C" w:rsidRDefault="0095657C" w:rsidP="00A941A6">
      <w:pPr>
        <w:pStyle w:val="NoSpacing"/>
        <w:rPr>
          <w:rFonts w:ascii="Palatino Linotype" w:hAnsi="Palatino Linotype"/>
        </w:rPr>
      </w:pPr>
    </w:p>
    <w:p w14:paraId="215F1357" w14:textId="68E1281B" w:rsidR="00243FC3" w:rsidRDefault="00AC63DB" w:rsidP="00AC63DB">
      <w:pPr>
        <w:pStyle w:val="NoSpacing"/>
        <w:numPr>
          <w:ilvl w:val="0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proofErr w:type="spellStart"/>
      <w:r w:rsidRPr="00AC63DB">
        <w:rPr>
          <w:rFonts w:ascii="Palatino Linotype" w:hAnsi="Palatino Linotype"/>
          <w:b/>
          <w:bCs/>
        </w:rPr>
        <w:t>iTEP</w:t>
      </w:r>
      <w:proofErr w:type="spellEnd"/>
      <w:r w:rsidRPr="00AC63DB">
        <w:rPr>
          <w:rFonts w:ascii="Palatino Linotype" w:hAnsi="Palatino Linotype"/>
          <w:b/>
          <w:bCs/>
        </w:rPr>
        <w:t xml:space="preserve"> Academic</w:t>
      </w:r>
      <w:r>
        <w:rPr>
          <w:rFonts w:ascii="Palatino Linotype" w:hAnsi="Palatino Linotype"/>
        </w:rPr>
        <w:t xml:space="preserve"> </w:t>
      </w:r>
      <w:r w:rsidRPr="00AC63DB">
        <w:rPr>
          <w:rFonts w:ascii="Palatino Linotype" w:hAnsi="Palatino Linotype"/>
          <w:b/>
          <w:bCs/>
        </w:rPr>
        <w:t>-Plus</w:t>
      </w:r>
      <w:r>
        <w:rPr>
          <w:rFonts w:ascii="Palatino Linotype" w:hAnsi="Palatino Linotype"/>
        </w:rPr>
        <w:t xml:space="preserve"> and the </w:t>
      </w:r>
      <w:r w:rsidRPr="00AC63DB">
        <w:rPr>
          <w:rFonts w:ascii="Palatino Linotype" w:hAnsi="Palatino Linotype"/>
          <w:b/>
          <w:bCs/>
        </w:rPr>
        <w:t>C1 Advanced</w:t>
      </w:r>
      <w:r w:rsidR="00936C22" w:rsidRPr="000878C0">
        <w:rPr>
          <w:rFonts w:ascii="Palatino Linotype" w:hAnsi="Palatino Linotype"/>
        </w:rPr>
        <w:t xml:space="preserve"> examinations to meet the </w:t>
      </w:r>
      <w:r>
        <w:rPr>
          <w:rFonts w:ascii="Palatino Linotype" w:hAnsi="Palatino Linotype"/>
        </w:rPr>
        <w:t xml:space="preserve">UA </w:t>
      </w:r>
      <w:r w:rsidR="00936C22" w:rsidRPr="000878C0">
        <w:rPr>
          <w:rFonts w:ascii="Palatino Linotype" w:hAnsi="Palatino Linotype"/>
        </w:rPr>
        <w:t xml:space="preserve">English language </w:t>
      </w:r>
      <w:r w:rsidR="006D5FC9">
        <w:rPr>
          <w:rFonts w:ascii="Palatino Linotype" w:hAnsi="Palatino Linotype"/>
        </w:rPr>
        <w:t>proficiency</w:t>
      </w:r>
      <w:r w:rsidR="00936C22" w:rsidRPr="000878C0">
        <w:rPr>
          <w:rFonts w:ascii="Palatino Linotype" w:hAnsi="Palatino Linotype"/>
        </w:rPr>
        <w:t xml:space="preserve"> requirement</w:t>
      </w:r>
      <w:r w:rsidR="006D5FC9">
        <w:rPr>
          <w:rFonts w:ascii="Palatino Linotype" w:hAnsi="Palatino Linotype"/>
        </w:rPr>
        <w:t>s</w:t>
      </w:r>
      <w:r w:rsidR="00936C22" w:rsidRPr="000878C0">
        <w:rPr>
          <w:rFonts w:ascii="Palatino Linotype" w:hAnsi="Palatino Linotype"/>
        </w:rPr>
        <w:t xml:space="preserve"> for </w:t>
      </w:r>
      <w:r w:rsidR="006D5FC9">
        <w:rPr>
          <w:rFonts w:ascii="Palatino Linotype" w:hAnsi="Palatino Linotype"/>
        </w:rPr>
        <w:t xml:space="preserve">non-native </w:t>
      </w:r>
      <w:r w:rsidR="00B6194E">
        <w:rPr>
          <w:rFonts w:ascii="Palatino Linotype" w:hAnsi="Palatino Linotype"/>
        </w:rPr>
        <w:t xml:space="preserve">English </w:t>
      </w:r>
      <w:r w:rsidR="006D5FC9">
        <w:rPr>
          <w:rFonts w:ascii="Palatino Linotype" w:hAnsi="Palatino Linotype"/>
        </w:rPr>
        <w:t>speaker</w:t>
      </w:r>
      <w:r w:rsidR="00B6194E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>,</w:t>
      </w:r>
      <w:r w:rsidR="00B6194E">
        <w:rPr>
          <w:rFonts w:ascii="Palatino Linotype" w:hAnsi="Palatino Linotype"/>
        </w:rPr>
        <w:t xml:space="preserve"> for</w:t>
      </w:r>
      <w:r w:rsidR="00936C22" w:rsidRPr="000878C0">
        <w:rPr>
          <w:rFonts w:ascii="Palatino Linotype" w:hAnsi="Palatino Linotype"/>
        </w:rPr>
        <w:t xml:space="preserve"> </w:t>
      </w:r>
      <w:r w:rsidR="006D5FC9">
        <w:rPr>
          <w:rFonts w:ascii="Palatino Linotype" w:hAnsi="Palatino Linotype"/>
        </w:rPr>
        <w:t>a</w:t>
      </w:r>
      <w:r w:rsidR="00936C22" w:rsidRPr="000878C0">
        <w:rPr>
          <w:rFonts w:ascii="Palatino Linotype" w:hAnsi="Palatino Linotype"/>
        </w:rPr>
        <w:t>dmission</w:t>
      </w:r>
      <w:r w:rsidR="00B6194E">
        <w:rPr>
          <w:rFonts w:ascii="Palatino Linotype" w:hAnsi="Palatino Linotype"/>
        </w:rPr>
        <w:t xml:space="preserve"> and placement</w:t>
      </w:r>
      <w:r w:rsidR="00936C22" w:rsidRPr="000878C0">
        <w:rPr>
          <w:rFonts w:ascii="Palatino Linotype" w:hAnsi="Palatino Linotype"/>
        </w:rPr>
        <w:t xml:space="preserve"> </w:t>
      </w:r>
      <w:r w:rsidR="006D5FC9">
        <w:rPr>
          <w:rFonts w:ascii="Palatino Linotype" w:hAnsi="Palatino Linotype"/>
        </w:rPr>
        <w:t>p</w:t>
      </w:r>
      <w:r w:rsidR="00936C22" w:rsidRPr="000878C0">
        <w:rPr>
          <w:rFonts w:ascii="Palatino Linotype" w:hAnsi="Palatino Linotype"/>
        </w:rPr>
        <w:t>urposes</w:t>
      </w:r>
      <w:r w:rsidR="006D5FC9">
        <w:rPr>
          <w:rFonts w:ascii="Palatino Linotype" w:hAnsi="Palatino Linotype"/>
        </w:rPr>
        <w:t>.</w:t>
      </w:r>
    </w:p>
    <w:p w14:paraId="3815DCD8" w14:textId="37DF7253" w:rsidR="00AC63DB" w:rsidRDefault="00AC63DB" w:rsidP="00AC63DB">
      <w:pPr>
        <w:pStyle w:val="NoSpacing"/>
        <w:numPr>
          <w:ilvl w:val="0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</w:t>
      </w:r>
      <w:r w:rsidRPr="00727EAE">
        <w:rPr>
          <w:rFonts w:ascii="Palatino Linotype" w:hAnsi="Palatino Linotype"/>
          <w:b/>
          <w:bCs/>
        </w:rPr>
        <w:t>Duolingo English Test (DET)</w:t>
      </w:r>
      <w:r>
        <w:rPr>
          <w:rFonts w:ascii="Palatino Linotype" w:hAnsi="Palatino Linotype"/>
        </w:rPr>
        <w:t xml:space="preserve"> as a supplemental assessment for use on a case-by-case basis with the understanding that additional assessments would be required upon the student’s arrival to campus.</w:t>
      </w:r>
    </w:p>
    <w:p w14:paraId="1231ACCD" w14:textId="4B64DFC9" w:rsidR="00A941A6" w:rsidRDefault="00A941A6" w:rsidP="00AC63DB">
      <w:pPr>
        <w:pStyle w:val="NoSpacing"/>
        <w:numPr>
          <w:ilvl w:val="0"/>
          <w:numId w:val="1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proposed test score equivalencies for admission, </w:t>
      </w:r>
      <w:r w:rsidRPr="000878C0">
        <w:rPr>
          <w:rFonts w:ascii="Palatino Linotype" w:hAnsi="Palatino Linotype"/>
        </w:rPr>
        <w:t>enrollment, and assistantship qualifications</w:t>
      </w:r>
    </w:p>
    <w:p w14:paraId="1825CACD" w14:textId="77777777" w:rsidR="006D5FC9" w:rsidRPr="000878C0" w:rsidRDefault="006D5FC9" w:rsidP="000878C0">
      <w:pPr>
        <w:pStyle w:val="NoSpacing"/>
        <w:rPr>
          <w:rFonts w:ascii="Palatino Linotype" w:hAnsi="Palatino Linotype"/>
        </w:rPr>
      </w:pPr>
    </w:p>
    <w:p w14:paraId="5299A66A" w14:textId="073B4A76" w:rsidR="00936C22" w:rsidRPr="00D45D92" w:rsidRDefault="00936C22" w:rsidP="00D45D92">
      <w:pPr>
        <w:rPr>
          <w:rFonts w:ascii="Palatino Linotype" w:hAnsi="Palatino Linotype"/>
          <w:b/>
          <w:bCs/>
          <w:color w:val="C00000"/>
        </w:rPr>
      </w:pPr>
      <w:proofErr w:type="spellStart"/>
      <w:r w:rsidRPr="00D45D92">
        <w:rPr>
          <w:rFonts w:ascii="Palatino Linotype" w:hAnsi="Palatino Linotype"/>
          <w:b/>
          <w:bCs/>
          <w:color w:val="C00000"/>
        </w:rPr>
        <w:t>iTEP</w:t>
      </w:r>
      <w:proofErr w:type="spellEnd"/>
      <w:r w:rsidRPr="00D45D92">
        <w:rPr>
          <w:rFonts w:ascii="Palatino Linotype" w:hAnsi="Palatino Linotype"/>
          <w:b/>
          <w:bCs/>
          <w:color w:val="C00000"/>
        </w:rPr>
        <w:t xml:space="preserve"> Academic -Plus:   International Test of English Proficiency </w:t>
      </w:r>
    </w:p>
    <w:p w14:paraId="09232E7F" w14:textId="0BE069BF" w:rsidR="00D45D92" w:rsidRPr="008C4922" w:rsidRDefault="00131347" w:rsidP="00AC63DB">
      <w:pPr>
        <w:rPr>
          <w:rFonts w:ascii="Palatino Linotype" w:hAnsi="Palatino Linotype"/>
          <w:color w:val="C00000"/>
        </w:rPr>
      </w:pPr>
      <w:hyperlink r:id="rId7" w:history="1">
        <w:r w:rsidR="00AC63DB" w:rsidRPr="009256FA">
          <w:rPr>
            <w:rStyle w:val="Hyperlink"/>
            <w:rFonts w:ascii="Palatino Linotype" w:hAnsi="Palatino Linotype"/>
          </w:rPr>
          <w:t>https://www.itepexam.com/products/itepacademic/</w:t>
        </w:r>
      </w:hyperlink>
      <w:r w:rsidR="00D45D92">
        <w:rPr>
          <w:rFonts w:ascii="Palatino Linotype" w:hAnsi="Palatino Linotype"/>
          <w:color w:val="C00000"/>
        </w:rPr>
        <w:t xml:space="preserve"> </w:t>
      </w:r>
    </w:p>
    <w:p w14:paraId="14278DA8" w14:textId="70C4803A" w:rsidR="00936C22" w:rsidRPr="0081106C" w:rsidRDefault="00936C22" w:rsidP="000878C0">
      <w:pPr>
        <w:rPr>
          <w:rFonts w:ascii="Palatino Linotype" w:hAnsi="Palatino Linotype"/>
          <w:b/>
          <w:bCs/>
          <w:i/>
          <w:iCs/>
        </w:rPr>
      </w:pPr>
      <w:r w:rsidRPr="0081106C">
        <w:rPr>
          <w:rFonts w:ascii="Palatino Linotype" w:hAnsi="Palatino Linotype" w:cs="Arial"/>
          <w:b/>
          <w:bCs/>
          <w:i/>
          <w:iCs/>
        </w:rPr>
        <w:t>Rationale</w:t>
      </w:r>
      <w:r w:rsidR="00B6194E">
        <w:rPr>
          <w:rFonts w:ascii="Palatino Linotype" w:hAnsi="Palatino Linotype" w:cs="Arial"/>
          <w:b/>
          <w:bCs/>
          <w:i/>
          <w:iCs/>
        </w:rPr>
        <w:t>:</w:t>
      </w:r>
    </w:p>
    <w:p w14:paraId="2A452C5C" w14:textId="7F574114" w:rsidR="00936C22" w:rsidRPr="000878C0" w:rsidRDefault="007D10C1" w:rsidP="000878C0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 w:cs="Arial"/>
        </w:rPr>
        <w:t>First administered in 2008</w:t>
      </w:r>
    </w:p>
    <w:p w14:paraId="327D2DE6" w14:textId="6FD9D83D" w:rsidR="00936C22" w:rsidRPr="000878C0" w:rsidRDefault="00D45D92" w:rsidP="000878C0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>
        <w:rPr>
          <w:rFonts w:ascii="Palatino Linotype" w:hAnsi="Palatino Linotype" w:cs="Arial"/>
        </w:rPr>
        <w:t xml:space="preserve"> D</w:t>
      </w:r>
      <w:r w:rsidR="00B6194E">
        <w:rPr>
          <w:rFonts w:ascii="Palatino Linotype" w:hAnsi="Palatino Linotype" w:cs="Arial"/>
        </w:rPr>
        <w:t>elivered</w:t>
      </w:r>
      <w:r w:rsidR="00936C22" w:rsidRPr="000878C0">
        <w:rPr>
          <w:rFonts w:ascii="Palatino Linotype" w:hAnsi="Palatino Linotype" w:cs="Arial"/>
        </w:rPr>
        <w:t xml:space="preserve"> over the </w:t>
      </w:r>
      <w:r w:rsidR="00B6194E">
        <w:rPr>
          <w:rFonts w:ascii="Palatino Linotype" w:hAnsi="Palatino Linotype" w:cs="Arial"/>
        </w:rPr>
        <w:t>i</w:t>
      </w:r>
      <w:r w:rsidR="00936C22" w:rsidRPr="000878C0">
        <w:rPr>
          <w:rFonts w:ascii="Palatino Linotype" w:hAnsi="Palatino Linotype" w:cs="Arial"/>
        </w:rPr>
        <w:t xml:space="preserve">nternet </w:t>
      </w:r>
      <w:r w:rsidR="00B6194E">
        <w:rPr>
          <w:rFonts w:ascii="Palatino Linotype" w:hAnsi="Palatino Linotype" w:cs="Arial"/>
        </w:rPr>
        <w:t xml:space="preserve">and administered at </w:t>
      </w:r>
      <w:r w:rsidR="007D10C1">
        <w:rPr>
          <w:rFonts w:ascii="Palatino Linotype" w:hAnsi="Palatino Linotype" w:cs="Arial"/>
        </w:rPr>
        <w:t>600</w:t>
      </w:r>
      <w:r w:rsidR="00B6194E">
        <w:rPr>
          <w:rFonts w:ascii="Palatino Linotype" w:hAnsi="Palatino Linotype" w:cs="Arial"/>
        </w:rPr>
        <w:t>+</w:t>
      </w:r>
      <w:r w:rsidR="00936C22" w:rsidRPr="000878C0">
        <w:rPr>
          <w:rFonts w:ascii="Palatino Linotype" w:hAnsi="Palatino Linotype" w:cs="Arial"/>
        </w:rPr>
        <w:t xml:space="preserve"> test centers in </w:t>
      </w:r>
      <w:r w:rsidR="00AD77CE" w:rsidRPr="000878C0">
        <w:rPr>
          <w:rFonts w:ascii="Palatino Linotype" w:hAnsi="Palatino Linotype" w:cs="Arial"/>
        </w:rPr>
        <w:t>6</w:t>
      </w:r>
      <w:r w:rsidR="00936C22" w:rsidRPr="000878C0">
        <w:rPr>
          <w:rFonts w:ascii="Palatino Linotype" w:hAnsi="Palatino Linotype" w:cs="Arial"/>
        </w:rPr>
        <w:t>1 countries</w:t>
      </w:r>
      <w:r w:rsidR="00AD77CE" w:rsidRPr="000878C0">
        <w:rPr>
          <w:rFonts w:ascii="Palatino Linotype" w:hAnsi="Palatino Linotype" w:cs="Arial"/>
        </w:rPr>
        <w:t xml:space="preserve">.   </w:t>
      </w:r>
      <w:r w:rsidR="00454D13">
        <w:rPr>
          <w:rFonts w:ascii="Palatino Linotype" w:hAnsi="Palatino Linotype" w:cs="Arial"/>
        </w:rPr>
        <w:t xml:space="preserve"> </w:t>
      </w:r>
    </w:p>
    <w:p w14:paraId="318A43E4" w14:textId="5B37C11C" w:rsidR="000878C0" w:rsidRPr="000878C0" w:rsidRDefault="00936C22" w:rsidP="000878C0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proofErr w:type="spellStart"/>
      <w:r w:rsidRPr="000878C0">
        <w:rPr>
          <w:rFonts w:ascii="Palatino Linotype" w:hAnsi="Palatino Linotype" w:cs="Arial"/>
        </w:rPr>
        <w:t>iTEP</w:t>
      </w:r>
      <w:proofErr w:type="spellEnd"/>
      <w:r w:rsidRPr="000878C0">
        <w:rPr>
          <w:rFonts w:ascii="Palatino Linotype" w:hAnsi="Palatino Linotype" w:cs="Arial"/>
        </w:rPr>
        <w:t xml:space="preserve"> Academic is administered in 90 minutes. Results are available within five business days. </w:t>
      </w:r>
      <w:r w:rsidR="00AD77CE" w:rsidRPr="000878C0">
        <w:rPr>
          <w:rFonts w:ascii="Palatino Linotype" w:hAnsi="Palatino Linotype" w:cs="Arial"/>
        </w:rPr>
        <w:t>300+</w:t>
      </w:r>
      <w:r w:rsidRPr="000878C0">
        <w:rPr>
          <w:rFonts w:ascii="Palatino Linotype" w:hAnsi="Palatino Linotype" w:cs="Arial"/>
        </w:rPr>
        <w:t xml:space="preserve"> universities </w:t>
      </w:r>
      <w:r w:rsidR="007D10C1">
        <w:rPr>
          <w:rFonts w:ascii="Palatino Linotype" w:hAnsi="Palatino Linotype" w:cs="Arial"/>
        </w:rPr>
        <w:t>accept the</w:t>
      </w:r>
      <w:r w:rsidRPr="000878C0">
        <w:rPr>
          <w:rFonts w:ascii="Palatino Linotype" w:hAnsi="Palatino Linotype" w:cs="Arial"/>
        </w:rPr>
        <w:t xml:space="preserve"> </w:t>
      </w:r>
      <w:proofErr w:type="spellStart"/>
      <w:r w:rsidRPr="000878C0">
        <w:rPr>
          <w:rFonts w:ascii="Palatino Linotype" w:hAnsi="Palatino Linotype" w:cs="Arial"/>
        </w:rPr>
        <w:t>iTEP</w:t>
      </w:r>
      <w:proofErr w:type="spellEnd"/>
      <w:r w:rsidRPr="000878C0">
        <w:rPr>
          <w:rFonts w:ascii="Palatino Linotype" w:hAnsi="Palatino Linotype" w:cs="Arial"/>
        </w:rPr>
        <w:t xml:space="preserve"> for admissions. </w:t>
      </w:r>
    </w:p>
    <w:p w14:paraId="301BE166" w14:textId="36C7C7D3" w:rsidR="000878C0" w:rsidRPr="000878C0" w:rsidRDefault="00936C22" w:rsidP="006C5D0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0878C0">
        <w:rPr>
          <w:rFonts w:ascii="Palatino Linotype" w:hAnsi="Palatino Linotype" w:cs="Arial"/>
        </w:rPr>
        <w:t xml:space="preserve">The exam has five sections—reading, listening, grammar, writing, and speaking. </w:t>
      </w:r>
      <w:r w:rsidR="005A5D3C" w:rsidRPr="000878C0">
        <w:rPr>
          <w:rFonts w:ascii="Palatino Linotype" w:hAnsi="Palatino Linotype" w:cs="Arial"/>
        </w:rPr>
        <w:t>Test-</w:t>
      </w:r>
      <w:r w:rsidRPr="000878C0">
        <w:rPr>
          <w:rFonts w:ascii="Palatino Linotype" w:hAnsi="Palatino Linotype" w:cs="Arial"/>
        </w:rPr>
        <w:t>takers write and speak during the test. Their samples are scored by ESL-qualified graders</w:t>
      </w:r>
    </w:p>
    <w:p w14:paraId="7A868309" w14:textId="4CEE7531" w:rsidR="00AD77CE" w:rsidRPr="000878C0" w:rsidRDefault="006C5D07" w:rsidP="006C5D07">
      <w:pPr>
        <w:pStyle w:val="ListParagraph"/>
        <w:numPr>
          <w:ilvl w:val="0"/>
          <w:numId w:val="5"/>
        </w:num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>The test determines an overall proficiency level from 0 (beginner) to 6 (mastery), as well as individual proficiency levels from 0 to 6 for each of the skills and sub-skills tested.  The overall scores combine the results of the skill sections</w:t>
      </w:r>
      <w:r w:rsidR="007D10C1">
        <w:rPr>
          <w:rFonts w:ascii="Palatino Linotype" w:hAnsi="Palatino Linotype"/>
        </w:rPr>
        <w:t xml:space="preserve"> </w:t>
      </w:r>
      <w:r w:rsidRPr="000878C0">
        <w:rPr>
          <w:rFonts w:ascii="Palatino Linotype" w:hAnsi="Palatino Linotype"/>
        </w:rPr>
        <w:t xml:space="preserve">and are expressed to one decimal point (from 0.0 to 6.0).  </w:t>
      </w:r>
    </w:p>
    <w:p w14:paraId="671AAE01" w14:textId="4E36BCB2" w:rsidR="006C5D07" w:rsidRPr="000878C0" w:rsidRDefault="006C5D07" w:rsidP="006C5D0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 xml:space="preserve">The grammar, listening, and reading sections are scored automatically by </w:t>
      </w:r>
      <w:proofErr w:type="spellStart"/>
      <w:r w:rsidRPr="000878C0">
        <w:rPr>
          <w:rFonts w:ascii="Palatino Linotype" w:hAnsi="Palatino Linotype"/>
        </w:rPr>
        <w:t>iTEP</w:t>
      </w:r>
      <w:proofErr w:type="spellEnd"/>
      <w:r w:rsidRPr="000878C0">
        <w:rPr>
          <w:rFonts w:ascii="Palatino Linotype" w:hAnsi="Palatino Linotype"/>
        </w:rPr>
        <w:t xml:space="preserve"> software.</w:t>
      </w:r>
    </w:p>
    <w:p w14:paraId="6303238E" w14:textId="520D4953" w:rsidR="006C5D07" w:rsidRPr="000878C0" w:rsidRDefault="006C5D07" w:rsidP="006C5D0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>The writing and speaking sections are eva</w:t>
      </w:r>
      <w:r w:rsidR="005A5D3C" w:rsidRPr="000878C0">
        <w:rPr>
          <w:rFonts w:ascii="Palatino Linotype" w:hAnsi="Palatino Linotype"/>
        </w:rPr>
        <w:t>lu</w:t>
      </w:r>
      <w:r w:rsidRPr="000878C0">
        <w:rPr>
          <w:rFonts w:ascii="Palatino Linotype" w:hAnsi="Palatino Linotype"/>
        </w:rPr>
        <w:t>ated by native English-speaking, English as a Second Language trained</w:t>
      </w:r>
      <w:r w:rsidR="005A5D3C" w:rsidRPr="000878C0">
        <w:rPr>
          <w:rFonts w:ascii="Palatino Linotype" w:hAnsi="Palatino Linotype"/>
        </w:rPr>
        <w:t xml:space="preserve"> professionals, according to a standardized scoring rubric.</w:t>
      </w:r>
    </w:p>
    <w:p w14:paraId="62C2D9A1" w14:textId="04D2A841" w:rsidR="005A5D3C" w:rsidRPr="000878C0" w:rsidRDefault="005A5D3C" w:rsidP="006C5D07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>The official score report presents an examinee’s scoring information, displaying an examinee’s strengths and weaknesses in each of the skills and sub-skills tested.</w:t>
      </w:r>
    </w:p>
    <w:p w14:paraId="2EF01E31" w14:textId="48008B87" w:rsidR="005A5D3C" w:rsidRDefault="000878C0" w:rsidP="005A5D3C">
      <w:p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>Cost:  $129.00</w:t>
      </w:r>
    </w:p>
    <w:p w14:paraId="036AD473" w14:textId="77777777" w:rsidR="009869E0" w:rsidRPr="000878C0" w:rsidRDefault="009869E0" w:rsidP="009869E0">
      <w:pPr>
        <w:rPr>
          <w:rFonts w:ascii="Palatino Linotype" w:hAnsi="Palatino Linotype"/>
        </w:rPr>
      </w:pPr>
      <w:r w:rsidRPr="000878C0">
        <w:rPr>
          <w:rFonts w:ascii="Palatino Linotype" w:hAnsi="Palatino Linotype"/>
        </w:rPr>
        <w:t xml:space="preserve">The University of Arkansas would become an authorized </w:t>
      </w:r>
      <w:proofErr w:type="spellStart"/>
      <w:r w:rsidRPr="000878C0">
        <w:rPr>
          <w:rFonts w:ascii="Palatino Linotype" w:hAnsi="Palatino Linotype"/>
        </w:rPr>
        <w:t>iTEP</w:t>
      </w:r>
      <w:proofErr w:type="spellEnd"/>
      <w:r w:rsidRPr="000878C0">
        <w:rPr>
          <w:rFonts w:ascii="Palatino Linotype" w:hAnsi="Palatino Linotype"/>
        </w:rPr>
        <w:t xml:space="preserve"> testing center, the only one in the state.  </w:t>
      </w:r>
    </w:p>
    <w:p w14:paraId="4A18A7B6" w14:textId="77777777" w:rsidR="0081106C" w:rsidRDefault="0081106C" w:rsidP="005A5D3C">
      <w:pPr>
        <w:rPr>
          <w:rFonts w:ascii="Palatino Linotype" w:hAnsi="Palatino Linotype"/>
        </w:rPr>
      </w:pPr>
    </w:p>
    <w:p w14:paraId="6843FC52" w14:textId="331EEFE7" w:rsidR="0081106C" w:rsidRDefault="00D27365" w:rsidP="005A5D3C">
      <w:pPr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44E63E52" wp14:editId="537F4024">
            <wp:extent cx="5391150" cy="71098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2409" cy="719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1ED" w14:textId="0329BC37" w:rsidR="00D45D92" w:rsidRPr="00A941A6" w:rsidRDefault="00D45D92" w:rsidP="008C4922">
      <w:pPr>
        <w:rPr>
          <w:rFonts w:ascii="Palatino Linotype" w:hAnsi="Palatino Linotype"/>
        </w:rPr>
      </w:pPr>
    </w:p>
    <w:p w14:paraId="3F21EB93" w14:textId="77777777" w:rsidR="00937EC0" w:rsidRDefault="00937EC0" w:rsidP="008C4922">
      <w:pPr>
        <w:rPr>
          <w:rFonts w:ascii="Palatino Linotype" w:hAnsi="Palatino Linotype"/>
          <w:b/>
          <w:bCs/>
          <w:color w:val="C00000"/>
        </w:rPr>
      </w:pPr>
    </w:p>
    <w:p w14:paraId="102041D1" w14:textId="4EE7D1B3" w:rsidR="000878C0" w:rsidRDefault="00B629F0" w:rsidP="008C4922">
      <w:pPr>
        <w:rPr>
          <w:rFonts w:ascii="Palatino Linotype" w:hAnsi="Palatino Linotype"/>
          <w:b/>
          <w:bCs/>
          <w:color w:val="C00000"/>
        </w:rPr>
      </w:pPr>
      <w:r w:rsidRPr="008C4922">
        <w:rPr>
          <w:rFonts w:ascii="Palatino Linotype" w:hAnsi="Palatino Linotype"/>
          <w:b/>
          <w:bCs/>
          <w:color w:val="C00000"/>
        </w:rPr>
        <w:lastRenderedPageBreak/>
        <w:t>C1 Advanced (Cambridge Assessment English)</w:t>
      </w:r>
    </w:p>
    <w:p w14:paraId="17BF9F77" w14:textId="52A84A6C" w:rsidR="00D45D92" w:rsidRDefault="00131347" w:rsidP="008C4922">
      <w:pPr>
        <w:rPr>
          <w:rFonts w:ascii="Palatino Linotype" w:hAnsi="Palatino Linotype"/>
          <w:b/>
          <w:bCs/>
          <w:color w:val="C00000"/>
        </w:rPr>
      </w:pPr>
      <w:hyperlink r:id="rId9" w:history="1">
        <w:r w:rsidR="00D45D92" w:rsidRPr="009256FA">
          <w:rPr>
            <w:rStyle w:val="Hyperlink"/>
            <w:rFonts w:ascii="Palatino Linotype" w:hAnsi="Palatino Linotype"/>
            <w:b/>
            <w:bCs/>
          </w:rPr>
          <w:t>https://www.cambridgeenglish.org/exams-and-tests/advanced/</w:t>
        </w:r>
      </w:hyperlink>
    </w:p>
    <w:p w14:paraId="5DBB5E40" w14:textId="32A05A6A" w:rsidR="00B629F0" w:rsidRPr="0081106C" w:rsidRDefault="00B629F0" w:rsidP="005A5D3C">
      <w:pPr>
        <w:rPr>
          <w:rFonts w:ascii="Palatino Linotype" w:hAnsi="Palatino Linotype"/>
          <w:b/>
          <w:bCs/>
          <w:i/>
          <w:iCs/>
        </w:rPr>
      </w:pPr>
      <w:r w:rsidRPr="0081106C">
        <w:rPr>
          <w:rFonts w:ascii="Palatino Linotype" w:hAnsi="Palatino Linotype"/>
          <w:b/>
          <w:bCs/>
          <w:i/>
          <w:iCs/>
        </w:rPr>
        <w:t>Rationa</w:t>
      </w:r>
      <w:r w:rsidR="0081106C">
        <w:rPr>
          <w:rFonts w:ascii="Palatino Linotype" w:hAnsi="Palatino Linotype"/>
          <w:b/>
          <w:bCs/>
          <w:i/>
          <w:iCs/>
        </w:rPr>
        <w:t>le:</w:t>
      </w:r>
    </w:p>
    <w:p w14:paraId="46897C94" w14:textId="77777777" w:rsidR="00B6194E" w:rsidRDefault="00F52C14" w:rsidP="00B6194E">
      <w:pPr>
        <w:pStyle w:val="NoSpacing"/>
        <w:numPr>
          <w:ilvl w:val="0"/>
          <w:numId w:val="6"/>
        </w:numPr>
        <w:rPr>
          <w:rFonts w:ascii="Palatino Linotype" w:hAnsi="Palatino Linotype"/>
          <w:sz w:val="23"/>
          <w:szCs w:val="23"/>
        </w:rPr>
      </w:pPr>
      <w:r w:rsidRPr="007D10C1">
        <w:rPr>
          <w:rFonts w:ascii="Palatino Linotype" w:hAnsi="Palatino Linotype"/>
        </w:rPr>
        <w:t>Cambridge Assessment English</w:t>
      </w:r>
      <w:r w:rsidR="00566DE2" w:rsidRPr="007D10C1">
        <w:rPr>
          <w:rFonts w:ascii="Palatino Linotype" w:hAnsi="Palatino Linotype"/>
        </w:rPr>
        <w:t>(CAE) is part</w:t>
      </w:r>
      <w:r w:rsidRPr="007D10C1">
        <w:rPr>
          <w:rFonts w:ascii="Palatino Linotype" w:hAnsi="Palatino Linotype"/>
        </w:rPr>
        <w:t xml:space="preserve"> of the University of Cambridge</w:t>
      </w:r>
      <w:r w:rsidR="00566DE2" w:rsidRPr="007D10C1">
        <w:rPr>
          <w:rFonts w:ascii="Palatino Linotype" w:hAnsi="Palatino Linotype"/>
        </w:rPr>
        <w:t>, UK</w:t>
      </w:r>
      <w:r w:rsidRPr="007D10C1">
        <w:rPr>
          <w:rFonts w:ascii="Palatino Linotype" w:hAnsi="Palatino Linotype"/>
        </w:rPr>
        <w:t xml:space="preserve">. </w:t>
      </w:r>
    </w:p>
    <w:p w14:paraId="359657AB" w14:textId="6A8B7F62" w:rsidR="007766E2" w:rsidRPr="007766E2" w:rsidRDefault="00566DE2" w:rsidP="00B6194E">
      <w:pPr>
        <w:pStyle w:val="NoSpacing"/>
        <w:numPr>
          <w:ilvl w:val="0"/>
          <w:numId w:val="6"/>
        </w:numPr>
        <w:rPr>
          <w:rFonts w:ascii="Palatino Linotype" w:hAnsi="Palatino Linotype"/>
          <w:sz w:val="23"/>
          <w:szCs w:val="23"/>
        </w:rPr>
      </w:pPr>
      <w:r w:rsidRPr="00B6194E">
        <w:rPr>
          <w:rFonts w:ascii="Palatino Linotype" w:hAnsi="Palatino Linotype"/>
        </w:rPr>
        <w:t>CAE</w:t>
      </w:r>
      <w:r w:rsidR="007D10C1" w:rsidRPr="00B6194E">
        <w:rPr>
          <w:rFonts w:ascii="Palatino Linotype" w:hAnsi="Palatino Linotype"/>
        </w:rPr>
        <w:t xml:space="preserve"> a</w:t>
      </w:r>
      <w:r w:rsidR="00F52C14" w:rsidRPr="00B6194E">
        <w:rPr>
          <w:rFonts w:ascii="Palatino Linotype" w:hAnsi="Palatino Linotype"/>
        </w:rPr>
        <w:t>lso administers the IELTS</w:t>
      </w:r>
      <w:r w:rsidR="007766E2">
        <w:rPr>
          <w:rFonts w:ascii="Palatino Linotype" w:hAnsi="Palatino Linotype"/>
        </w:rPr>
        <w:t>.</w:t>
      </w:r>
      <w:r w:rsidRPr="00B6194E">
        <w:rPr>
          <w:rFonts w:ascii="Palatino Linotype" w:hAnsi="Palatino Linotype"/>
        </w:rPr>
        <w:t xml:space="preserve"> </w:t>
      </w:r>
    </w:p>
    <w:p w14:paraId="457A8059" w14:textId="4520514C" w:rsidR="008C4922" w:rsidRPr="00B6194E" w:rsidRDefault="007766E2" w:rsidP="00B6194E">
      <w:pPr>
        <w:pStyle w:val="NoSpacing"/>
        <w:numPr>
          <w:ilvl w:val="0"/>
          <w:numId w:val="6"/>
        </w:numPr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</w:rPr>
        <w:t xml:space="preserve">CAE administers </w:t>
      </w:r>
      <w:r w:rsidR="009869E0" w:rsidRPr="00B6194E">
        <w:rPr>
          <w:rFonts w:ascii="Palatino Linotype" w:hAnsi="Palatino Linotype"/>
        </w:rPr>
        <w:t xml:space="preserve">both </w:t>
      </w:r>
      <w:r w:rsidR="00566DE2" w:rsidRPr="00B6194E">
        <w:rPr>
          <w:rFonts w:ascii="Palatino Linotype" w:hAnsi="Palatino Linotype"/>
        </w:rPr>
        <w:t xml:space="preserve">the Cambridge International Advanced Subsidiary Levels (AS Levels) and Cambridge International Advanced Levels (A Levels) – </w:t>
      </w:r>
      <w:r w:rsidR="009869E0" w:rsidRPr="00B6194E">
        <w:rPr>
          <w:rFonts w:ascii="Palatino Linotype" w:hAnsi="Palatino Linotype"/>
        </w:rPr>
        <w:t xml:space="preserve">which </w:t>
      </w:r>
      <w:r>
        <w:rPr>
          <w:rFonts w:ascii="Palatino Linotype" w:hAnsi="Palatino Linotype"/>
        </w:rPr>
        <w:t>we</w:t>
      </w:r>
      <w:r w:rsidR="00566DE2" w:rsidRPr="00B6194E">
        <w:rPr>
          <w:rFonts w:ascii="Palatino Linotype" w:hAnsi="Palatino Linotype"/>
        </w:rPr>
        <w:t xml:space="preserve"> </w:t>
      </w:r>
      <w:proofErr w:type="gramStart"/>
      <w:r w:rsidR="00566DE2" w:rsidRPr="00B6194E">
        <w:rPr>
          <w:rFonts w:ascii="Palatino Linotype" w:hAnsi="Palatino Linotype"/>
        </w:rPr>
        <w:t>accept</w:t>
      </w:r>
      <w:proofErr w:type="gramEnd"/>
      <w:r w:rsidR="00566DE2" w:rsidRPr="00B6194E">
        <w:rPr>
          <w:rFonts w:ascii="Palatino Linotype" w:hAnsi="Palatino Linotype"/>
        </w:rPr>
        <w:t xml:space="preserve"> for </w:t>
      </w:r>
      <w:r>
        <w:rPr>
          <w:rFonts w:ascii="Palatino Linotype" w:hAnsi="Palatino Linotype"/>
        </w:rPr>
        <w:t xml:space="preserve">UA undergraduate </w:t>
      </w:r>
      <w:r w:rsidR="00566DE2" w:rsidRPr="00B6194E">
        <w:rPr>
          <w:rFonts w:ascii="Palatino Linotype" w:hAnsi="Palatino Linotype"/>
        </w:rPr>
        <w:t>admission consideration</w:t>
      </w:r>
      <w:r>
        <w:rPr>
          <w:rFonts w:ascii="Palatino Linotype" w:hAnsi="Palatino Linotype"/>
        </w:rPr>
        <w:t>.</w:t>
      </w:r>
    </w:p>
    <w:p w14:paraId="1D7F80CE" w14:textId="1F57563C" w:rsidR="00F52C14" w:rsidRPr="0081106C" w:rsidRDefault="00F52C14" w:rsidP="008C4922">
      <w:pPr>
        <w:pStyle w:val="NoSpacing"/>
        <w:numPr>
          <w:ilvl w:val="0"/>
          <w:numId w:val="6"/>
        </w:numPr>
        <w:rPr>
          <w:rFonts w:ascii="Palatino Linotype" w:hAnsi="Palatino Linotype"/>
          <w:sz w:val="23"/>
          <w:szCs w:val="23"/>
        </w:rPr>
      </w:pPr>
      <w:r w:rsidRPr="007D10C1">
        <w:rPr>
          <w:rFonts w:ascii="Palatino Linotype" w:hAnsi="Palatino Linotype"/>
          <w:sz w:val="23"/>
          <w:szCs w:val="23"/>
        </w:rPr>
        <w:t>C1 Advanced was originally introduced in 1991</w:t>
      </w:r>
      <w:r w:rsidR="0081106C">
        <w:rPr>
          <w:rFonts w:ascii="Palatino Linotype" w:hAnsi="Palatino Linotype"/>
          <w:sz w:val="23"/>
          <w:szCs w:val="23"/>
        </w:rPr>
        <w:t xml:space="preserve"> and</w:t>
      </w:r>
      <w:r w:rsidRPr="0081106C">
        <w:rPr>
          <w:rFonts w:ascii="Palatino Linotype" w:hAnsi="Palatino Linotype"/>
          <w:sz w:val="23"/>
          <w:szCs w:val="23"/>
        </w:rPr>
        <w:t xml:space="preserve"> can be taken as either a paper-based or computer-based exam</w:t>
      </w:r>
      <w:r w:rsidR="007D10C1" w:rsidRPr="0081106C">
        <w:rPr>
          <w:rFonts w:ascii="Palatino Linotype" w:hAnsi="Palatino Linotype"/>
          <w:sz w:val="23"/>
          <w:szCs w:val="23"/>
        </w:rPr>
        <w:t xml:space="preserve"> </w:t>
      </w:r>
      <w:r w:rsidR="00454D13" w:rsidRPr="0081106C">
        <w:rPr>
          <w:rFonts w:ascii="Palatino Linotype" w:hAnsi="Palatino Linotype"/>
        </w:rPr>
        <w:t>at 2800</w:t>
      </w:r>
      <w:r w:rsidR="007766E2">
        <w:rPr>
          <w:rFonts w:ascii="Palatino Linotype" w:hAnsi="Palatino Linotype"/>
        </w:rPr>
        <w:t>+</w:t>
      </w:r>
      <w:r w:rsidR="00454D13" w:rsidRPr="0081106C">
        <w:rPr>
          <w:rFonts w:ascii="Palatino Linotype" w:hAnsi="Palatino Linotype"/>
        </w:rPr>
        <w:t xml:space="preserve"> test centers in over 130 countries</w:t>
      </w:r>
      <w:r w:rsidR="009869E0" w:rsidRPr="0081106C">
        <w:rPr>
          <w:rFonts w:ascii="Palatino Linotype" w:hAnsi="Palatino Linotype"/>
        </w:rPr>
        <w:t>.</w:t>
      </w:r>
    </w:p>
    <w:p w14:paraId="300BEF37" w14:textId="14EB161B" w:rsidR="009869E0" w:rsidRPr="009249AE" w:rsidRDefault="00454D13" w:rsidP="009249AE">
      <w:pPr>
        <w:pStyle w:val="NoSpacing"/>
        <w:numPr>
          <w:ilvl w:val="0"/>
          <w:numId w:val="6"/>
        </w:numPr>
        <w:rPr>
          <w:rFonts w:ascii="Palatino Linotype" w:hAnsi="Palatino Linotype"/>
        </w:rPr>
      </w:pPr>
      <w:r w:rsidRPr="007D10C1">
        <w:rPr>
          <w:rFonts w:ascii="Palatino Linotype" w:hAnsi="Palatino Linotype"/>
        </w:rPr>
        <w:t xml:space="preserve">The exam is administered in four hours. Results are released on-line within 2- 3 weeks for computer based and 4 </w:t>
      </w:r>
      <w:r w:rsidR="00996476">
        <w:rPr>
          <w:rFonts w:ascii="Palatino Linotype" w:hAnsi="Palatino Linotype"/>
        </w:rPr>
        <w:t>-</w:t>
      </w:r>
      <w:r w:rsidRPr="007D10C1">
        <w:rPr>
          <w:rFonts w:ascii="Palatino Linotype" w:hAnsi="Palatino Linotype"/>
        </w:rPr>
        <w:t xml:space="preserve"> 6 weeks for paper-based. It is accepted globally by over 6,000 institutions. </w:t>
      </w:r>
    </w:p>
    <w:p w14:paraId="6163DC0B" w14:textId="06FD9C8C" w:rsidR="009869E0" w:rsidRPr="009249AE" w:rsidRDefault="00454D13" w:rsidP="009869E0">
      <w:pPr>
        <w:pStyle w:val="NoSpacing"/>
        <w:numPr>
          <w:ilvl w:val="0"/>
          <w:numId w:val="6"/>
        </w:numPr>
        <w:rPr>
          <w:rFonts w:ascii="Palatino Linotype" w:hAnsi="Palatino Linotype"/>
        </w:rPr>
      </w:pPr>
      <w:r w:rsidRPr="007D10C1">
        <w:rPr>
          <w:rFonts w:ascii="Palatino Linotype" w:hAnsi="Palatino Linotype"/>
          <w:sz w:val="23"/>
          <w:szCs w:val="23"/>
        </w:rPr>
        <w:t xml:space="preserve">C1 Advanced has </w:t>
      </w:r>
      <w:r w:rsidR="00C76C21" w:rsidRPr="007D10C1">
        <w:rPr>
          <w:rFonts w:ascii="Palatino Linotype" w:hAnsi="Palatino Linotype"/>
          <w:sz w:val="23"/>
          <w:szCs w:val="23"/>
        </w:rPr>
        <w:t>five</w:t>
      </w:r>
      <w:r w:rsidRPr="007D10C1">
        <w:rPr>
          <w:rFonts w:ascii="Palatino Linotype" w:hAnsi="Palatino Linotype"/>
          <w:sz w:val="23"/>
          <w:szCs w:val="23"/>
        </w:rPr>
        <w:t xml:space="preserve"> sections: </w:t>
      </w:r>
      <w:r w:rsidR="00C76C21" w:rsidRPr="007D10C1">
        <w:rPr>
          <w:rFonts w:ascii="Palatino Linotype" w:hAnsi="Palatino Linotype"/>
          <w:sz w:val="23"/>
          <w:szCs w:val="23"/>
        </w:rPr>
        <w:t>r</w:t>
      </w:r>
      <w:r w:rsidR="00F52C14" w:rsidRPr="007D10C1">
        <w:rPr>
          <w:rFonts w:ascii="Palatino Linotype" w:hAnsi="Palatino Linotype"/>
          <w:sz w:val="23"/>
          <w:szCs w:val="23"/>
        </w:rPr>
        <w:t>eading</w:t>
      </w:r>
      <w:r w:rsidR="00C76C21" w:rsidRPr="007D10C1">
        <w:rPr>
          <w:rFonts w:ascii="Palatino Linotype" w:hAnsi="Palatino Linotype"/>
          <w:sz w:val="23"/>
          <w:szCs w:val="23"/>
        </w:rPr>
        <w:t>,</w:t>
      </w:r>
      <w:r w:rsidR="00F52C14" w:rsidRPr="007D10C1">
        <w:rPr>
          <w:rFonts w:ascii="Palatino Linotype" w:hAnsi="Palatino Linotype"/>
          <w:sz w:val="23"/>
          <w:szCs w:val="23"/>
        </w:rPr>
        <w:t xml:space="preserve"> </w:t>
      </w:r>
      <w:r w:rsidRPr="007D10C1">
        <w:rPr>
          <w:rFonts w:ascii="Palatino Linotype" w:hAnsi="Palatino Linotype"/>
          <w:sz w:val="23"/>
          <w:szCs w:val="23"/>
        </w:rPr>
        <w:t>u</w:t>
      </w:r>
      <w:r w:rsidR="00F52C14" w:rsidRPr="007D10C1">
        <w:rPr>
          <w:rFonts w:ascii="Palatino Linotype" w:hAnsi="Palatino Linotype"/>
          <w:sz w:val="23"/>
          <w:szCs w:val="23"/>
        </w:rPr>
        <w:t xml:space="preserve">se of English, writing, listening, </w:t>
      </w:r>
      <w:r w:rsidRPr="007D10C1">
        <w:rPr>
          <w:rFonts w:ascii="Palatino Linotype" w:hAnsi="Palatino Linotype"/>
          <w:sz w:val="23"/>
          <w:szCs w:val="23"/>
        </w:rPr>
        <w:t xml:space="preserve"> and </w:t>
      </w:r>
      <w:r w:rsidR="00F52C14" w:rsidRPr="007D10C1">
        <w:rPr>
          <w:rFonts w:ascii="Palatino Linotype" w:hAnsi="Palatino Linotype"/>
          <w:sz w:val="23"/>
          <w:szCs w:val="23"/>
        </w:rPr>
        <w:t xml:space="preserve">speaking.  </w:t>
      </w:r>
      <w:r w:rsidR="00C76C21" w:rsidRPr="007D10C1">
        <w:rPr>
          <w:rFonts w:ascii="Palatino Linotype" w:hAnsi="Palatino Linotype"/>
        </w:rPr>
        <w:t>Reading and Use of English, Writing and Listening papers are taken on the same day. The Speaking paper may be taken a few days before or after the exam.</w:t>
      </w:r>
      <w:r w:rsidR="00996476">
        <w:rPr>
          <w:rFonts w:ascii="Palatino Linotype" w:hAnsi="Palatino Linotype"/>
        </w:rPr>
        <w:t xml:space="preserve"> Total 4 hours for all five sections.</w:t>
      </w:r>
    </w:p>
    <w:p w14:paraId="15EB904E" w14:textId="2D7CA497" w:rsidR="009249AE" w:rsidRDefault="00C76C21" w:rsidP="009249AE">
      <w:pPr>
        <w:pStyle w:val="NoSpacing"/>
        <w:numPr>
          <w:ilvl w:val="0"/>
          <w:numId w:val="6"/>
        </w:numPr>
        <w:rPr>
          <w:rStyle w:val="st"/>
          <w:rFonts w:ascii="Palatino Linotype" w:hAnsi="Palatino Linotype"/>
        </w:rPr>
      </w:pPr>
      <w:r w:rsidRPr="007D10C1">
        <w:rPr>
          <w:rFonts w:ascii="Palatino Linotype" w:hAnsi="Palatino Linotype"/>
        </w:rPr>
        <w:t xml:space="preserve">Scoring is based on the Common European Framework of Reference for Languages (CEFR). The CEFR </w:t>
      </w:r>
      <w:r w:rsidRPr="007D10C1">
        <w:rPr>
          <w:rStyle w:val="st"/>
          <w:rFonts w:ascii="Palatino Linotype" w:hAnsi="Palatino Linotype"/>
        </w:rPr>
        <w:t>is an international standard for determining ability within a language. It was established by the Council of Europe and aims to validate language</w:t>
      </w:r>
      <w:r w:rsidR="009249AE">
        <w:rPr>
          <w:rStyle w:val="st"/>
          <w:rFonts w:ascii="Palatino Linotype" w:hAnsi="Palatino Linotype"/>
        </w:rPr>
        <w:t xml:space="preserve"> ability.  </w:t>
      </w:r>
      <w:r w:rsidR="009249AE" w:rsidRPr="007D10C1">
        <w:rPr>
          <w:rStyle w:val="st"/>
          <w:rFonts w:ascii="Palatino Linotype" w:hAnsi="Palatino Linotype"/>
        </w:rPr>
        <w:t xml:space="preserve">The six </w:t>
      </w:r>
      <w:r w:rsidR="009249AE" w:rsidRPr="007D10C1">
        <w:rPr>
          <w:rStyle w:val="Emphasis"/>
          <w:rFonts w:ascii="Palatino Linotype" w:hAnsi="Palatino Linotype"/>
        </w:rPr>
        <w:t>levels</w:t>
      </w:r>
      <w:r w:rsidR="009249AE" w:rsidRPr="007D10C1">
        <w:rPr>
          <w:rStyle w:val="st"/>
          <w:rFonts w:ascii="Palatino Linotype" w:hAnsi="Palatino Linotype"/>
        </w:rPr>
        <w:t xml:space="preserve"> within the </w:t>
      </w:r>
      <w:r w:rsidR="009249AE" w:rsidRPr="007D10C1">
        <w:rPr>
          <w:rStyle w:val="Emphasis"/>
          <w:rFonts w:ascii="Palatino Linotype" w:hAnsi="Palatino Linotype"/>
        </w:rPr>
        <w:t>CEFR</w:t>
      </w:r>
      <w:r w:rsidR="009249AE" w:rsidRPr="007D10C1">
        <w:rPr>
          <w:rStyle w:val="st"/>
          <w:rFonts w:ascii="Palatino Linotype" w:hAnsi="Palatino Linotype"/>
        </w:rPr>
        <w:t xml:space="preserve"> are A1, A2, B1, B2, C1 and C2.</w:t>
      </w:r>
    </w:p>
    <w:p w14:paraId="59E36A22" w14:textId="77777777" w:rsidR="009249AE" w:rsidRDefault="009249AE" w:rsidP="009249AE">
      <w:pPr>
        <w:pStyle w:val="NoSpacing"/>
        <w:rPr>
          <w:noProof/>
        </w:rPr>
      </w:pPr>
    </w:p>
    <w:p w14:paraId="2B26F886" w14:textId="77777777" w:rsidR="009249AE" w:rsidRDefault="009249AE" w:rsidP="009249AE">
      <w:pPr>
        <w:pStyle w:val="NoSpacing"/>
        <w:rPr>
          <w:noProof/>
        </w:rPr>
      </w:pPr>
    </w:p>
    <w:p w14:paraId="05BA8969" w14:textId="77777777" w:rsidR="009249AE" w:rsidRDefault="009249AE" w:rsidP="009249AE">
      <w:pPr>
        <w:pStyle w:val="NoSpacing"/>
        <w:rPr>
          <w:noProof/>
        </w:rPr>
      </w:pPr>
    </w:p>
    <w:p w14:paraId="192ED937" w14:textId="33AE7828" w:rsidR="009249AE" w:rsidRPr="00BD50F1" w:rsidRDefault="00BD50F1" w:rsidP="009249AE">
      <w:pPr>
        <w:pStyle w:val="NoSpacing"/>
        <w:rPr>
          <w:rFonts w:ascii="Palatino Linotype" w:hAnsi="Palatino Linotype"/>
          <w:noProof/>
        </w:rPr>
      </w:pPr>
      <w:r w:rsidRPr="00BD50F1">
        <w:rPr>
          <w:rFonts w:ascii="Palatino Linotype" w:hAnsi="Palatino Linotype"/>
          <w:noProof/>
        </w:rPr>
        <w:t>Cost:  $200.00</w:t>
      </w:r>
    </w:p>
    <w:p w14:paraId="510741F8" w14:textId="2DDE7CAE" w:rsidR="009249AE" w:rsidRDefault="009249AE" w:rsidP="009249AE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4B61F4DB" wp14:editId="5926AE57">
            <wp:extent cx="5841769" cy="5295900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226" cy="5321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84BEE" w14:textId="2E227886" w:rsidR="00937EC0" w:rsidRPr="009249AE" w:rsidRDefault="00937EC0" w:rsidP="00B629F0">
      <w:pPr>
        <w:pStyle w:val="NoSpacing"/>
        <w:rPr>
          <w:rFonts w:ascii="Palatino Linotype" w:hAnsi="Palatino Linotype"/>
        </w:rPr>
      </w:pPr>
    </w:p>
    <w:p w14:paraId="09E5F297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4EDAFAAF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628683D0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6BBE5AFB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46689E13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2ADC709E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3A6D2523" w14:textId="08368C8E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2FBAD916" w14:textId="2E26EEFE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26AB637C" w14:textId="18146464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615C09B9" w14:textId="22EDDD4B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1A4F4CFB" w14:textId="6F48FEA4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5E5DC207" w14:textId="4DE96879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0E59D34F" w14:textId="77777777" w:rsidR="009249AE" w:rsidRDefault="009249AE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45E1C3B2" w14:textId="715DE6D3" w:rsidR="008C4922" w:rsidRDefault="008C4922" w:rsidP="00B629F0">
      <w:pPr>
        <w:pStyle w:val="NoSpacing"/>
        <w:rPr>
          <w:rFonts w:ascii="Palatino Linotype" w:hAnsi="Palatino Linotype"/>
        </w:rPr>
      </w:pPr>
      <w:r w:rsidRPr="00263A6A">
        <w:rPr>
          <w:rFonts w:ascii="Palatino Linotype" w:hAnsi="Palatino Linotype"/>
          <w:b/>
          <w:bCs/>
          <w:color w:val="C00000"/>
        </w:rPr>
        <w:lastRenderedPageBreak/>
        <w:t>The EASL Committee recommends the following score requirement</w:t>
      </w:r>
      <w:r w:rsidR="00B6194E" w:rsidRPr="00263A6A">
        <w:rPr>
          <w:rFonts w:ascii="Palatino Linotype" w:hAnsi="Palatino Linotype"/>
          <w:b/>
          <w:bCs/>
          <w:color w:val="C00000"/>
        </w:rPr>
        <w:t>s</w:t>
      </w:r>
      <w:r w:rsidRPr="00263A6A">
        <w:rPr>
          <w:rFonts w:ascii="Palatino Linotype" w:hAnsi="Palatino Linotype"/>
          <w:color w:val="C00000"/>
        </w:rPr>
        <w:t xml:space="preserve"> </w:t>
      </w:r>
      <w:r>
        <w:rPr>
          <w:rFonts w:ascii="Palatino Linotype" w:hAnsi="Palatino Linotype"/>
        </w:rPr>
        <w:t xml:space="preserve">for </w:t>
      </w:r>
      <w:r w:rsidR="00CC382F">
        <w:rPr>
          <w:rFonts w:ascii="Palatino Linotype" w:hAnsi="Palatino Linotype"/>
        </w:rPr>
        <w:t xml:space="preserve">1) </w:t>
      </w:r>
      <w:r>
        <w:rPr>
          <w:rFonts w:ascii="Palatino Linotype" w:hAnsi="Palatino Linotype"/>
        </w:rPr>
        <w:t xml:space="preserve">admission consideration, </w:t>
      </w:r>
      <w:r w:rsidR="00CC382F">
        <w:rPr>
          <w:rFonts w:ascii="Palatino Linotype" w:hAnsi="Palatino Linotype"/>
        </w:rPr>
        <w:t xml:space="preserve">2) </w:t>
      </w:r>
      <w:r>
        <w:rPr>
          <w:rFonts w:ascii="Palatino Linotype" w:hAnsi="Palatino Linotype"/>
        </w:rPr>
        <w:t xml:space="preserve">writing score requirements for enrollment, and </w:t>
      </w:r>
      <w:r w:rsidR="00263A6A">
        <w:rPr>
          <w:rFonts w:ascii="Palatino Linotype" w:hAnsi="Palatino Linotype"/>
        </w:rPr>
        <w:t xml:space="preserve">3) </w:t>
      </w:r>
      <w:r>
        <w:rPr>
          <w:rFonts w:ascii="Palatino Linotype" w:hAnsi="Palatino Linotype"/>
        </w:rPr>
        <w:t>speaking scores required to hold a TA that requires direct contact with students in a teaching or tutorial role, in a traditional classroom setting or via distance education.</w:t>
      </w:r>
    </w:p>
    <w:p w14:paraId="4C4E5F46" w14:textId="4971B452" w:rsidR="0047453B" w:rsidRDefault="0047453B" w:rsidP="00B629F0">
      <w:pPr>
        <w:pStyle w:val="NoSpacing"/>
        <w:rPr>
          <w:rFonts w:ascii="Palatino Linotype" w:hAnsi="Palatino Linotype"/>
        </w:rPr>
      </w:pPr>
    </w:p>
    <w:p w14:paraId="61E25CBA" w14:textId="1CED583E" w:rsidR="008C4922" w:rsidRDefault="008C4922" w:rsidP="00B629F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p w14:paraId="0848521A" w14:textId="137B9514" w:rsidR="001B63C3" w:rsidRDefault="003510C0" w:rsidP="00B629F0">
      <w:pPr>
        <w:pStyle w:val="NoSpacing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0712D76B" wp14:editId="78DECB5B">
            <wp:extent cx="53721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D9315" w14:textId="7B57158A" w:rsidR="007766E2" w:rsidRDefault="007766E2" w:rsidP="00B629F0">
      <w:pPr>
        <w:pStyle w:val="NoSpacing"/>
        <w:rPr>
          <w:rFonts w:ascii="Palatino Linotype" w:hAnsi="Palatino Linotype"/>
        </w:rPr>
      </w:pPr>
    </w:p>
    <w:p w14:paraId="56E23CD4" w14:textId="77777777" w:rsidR="001C1D2D" w:rsidRDefault="001C1D2D" w:rsidP="00B629F0">
      <w:pPr>
        <w:pStyle w:val="NoSpacing"/>
        <w:rPr>
          <w:rFonts w:ascii="Palatino Linotype" w:hAnsi="Palatino Linotype"/>
        </w:rPr>
      </w:pPr>
    </w:p>
    <w:p w14:paraId="1EA205D0" w14:textId="77777777" w:rsidR="001B63C3" w:rsidRDefault="001B63C3" w:rsidP="00B629F0">
      <w:pPr>
        <w:pStyle w:val="NoSpacing"/>
        <w:rPr>
          <w:noProof/>
        </w:rPr>
      </w:pPr>
    </w:p>
    <w:p w14:paraId="673DD06B" w14:textId="77BE95B5" w:rsidR="001B63C3" w:rsidRDefault="00B956F2" w:rsidP="00B629F0">
      <w:pPr>
        <w:pStyle w:val="NoSpacing"/>
        <w:rPr>
          <w:noProof/>
        </w:rPr>
      </w:pPr>
      <w:r w:rsidRPr="003869FD">
        <w:rPr>
          <w:noProof/>
        </w:rPr>
        <w:drawing>
          <wp:inline distT="0" distB="0" distL="0" distR="0" wp14:anchorId="658234F7" wp14:editId="57B39EE1">
            <wp:extent cx="5943600" cy="91447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611D8" w14:textId="3C633B01" w:rsidR="001B63C3" w:rsidRDefault="001B63C3" w:rsidP="00B629F0">
      <w:pPr>
        <w:pStyle w:val="NoSpacing"/>
        <w:rPr>
          <w:noProof/>
        </w:rPr>
      </w:pPr>
    </w:p>
    <w:p w14:paraId="45DB65D6" w14:textId="0CDE9FBB" w:rsidR="00996476" w:rsidRDefault="00996476" w:rsidP="00B629F0">
      <w:pPr>
        <w:pStyle w:val="NoSpacing"/>
        <w:rPr>
          <w:noProof/>
        </w:rPr>
      </w:pPr>
    </w:p>
    <w:p w14:paraId="53A28C5E" w14:textId="77777777" w:rsidR="00996476" w:rsidRDefault="00996476" w:rsidP="00B629F0">
      <w:pPr>
        <w:pStyle w:val="NoSpacing"/>
        <w:rPr>
          <w:noProof/>
        </w:rPr>
      </w:pPr>
    </w:p>
    <w:p w14:paraId="41099A5D" w14:textId="13E931EB" w:rsidR="00B956F2" w:rsidRDefault="00996476" w:rsidP="00B629F0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42CCB40" wp14:editId="4AD73042">
            <wp:extent cx="5943600" cy="1317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29486" w14:textId="162C57B3" w:rsidR="001B63C3" w:rsidRDefault="001B63C3" w:rsidP="00B629F0">
      <w:pPr>
        <w:pStyle w:val="NoSpacing"/>
        <w:rPr>
          <w:rFonts w:ascii="Palatino Linotype" w:hAnsi="Palatino Linotype"/>
        </w:rPr>
      </w:pPr>
    </w:p>
    <w:p w14:paraId="4D12A2EA" w14:textId="75BB354D" w:rsidR="001B63C3" w:rsidRDefault="001B63C3" w:rsidP="00727EAE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ELAC 0011 Writing Workshop:  Grammar through Editing</w:t>
      </w:r>
    </w:p>
    <w:p w14:paraId="29F8D298" w14:textId="50220E46" w:rsidR="001B63C3" w:rsidRDefault="001B63C3" w:rsidP="00CC382F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ELAC 1023 Academic </w:t>
      </w:r>
      <w:r w:rsidR="00CC382F">
        <w:rPr>
          <w:rFonts w:ascii="Palatino Linotype" w:hAnsi="Palatino Linotype"/>
        </w:rPr>
        <w:t>Writing Across Disciplines</w:t>
      </w:r>
    </w:p>
    <w:p w14:paraId="458A60AE" w14:textId="7B9537C7" w:rsidR="00CC382F" w:rsidRDefault="00CC382F" w:rsidP="00CC382F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ELAC 2043 Seminar in U.S. Culture, Communication, and Institutions</w:t>
      </w:r>
    </w:p>
    <w:p w14:paraId="2689C28F" w14:textId="67E4F7AC" w:rsidR="00CC382F" w:rsidRDefault="00CC382F" w:rsidP="00CC382F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ELAC 5033 Research Writing for Social Sciences and Education</w:t>
      </w:r>
    </w:p>
    <w:p w14:paraId="55FE6F2E" w14:textId="0D7975C7" w:rsidR="00CC382F" w:rsidRDefault="00CC382F" w:rsidP="00CC382F">
      <w:pPr>
        <w:pStyle w:val="NoSpacing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ELAC 5043 Research Writing in the STEM Fields</w:t>
      </w:r>
    </w:p>
    <w:p w14:paraId="07A81B01" w14:textId="2873C8F7" w:rsidR="00CC382F" w:rsidRDefault="00CC382F" w:rsidP="00B629F0">
      <w:pPr>
        <w:pStyle w:val="NoSpacing"/>
        <w:rPr>
          <w:rFonts w:ascii="Palatino Linotype" w:hAnsi="Palatino Linotype"/>
        </w:rPr>
      </w:pPr>
    </w:p>
    <w:p w14:paraId="7CF163C6" w14:textId="77777777" w:rsidR="00B956F2" w:rsidRDefault="00B956F2" w:rsidP="00B629F0">
      <w:pPr>
        <w:pStyle w:val="NoSpacing"/>
        <w:rPr>
          <w:rFonts w:ascii="Palatino Linotype" w:hAnsi="Palatino Linotype"/>
        </w:rPr>
      </w:pPr>
    </w:p>
    <w:p w14:paraId="19FFFD08" w14:textId="7997CD84" w:rsidR="00CC382F" w:rsidRDefault="003510C0" w:rsidP="00B629F0">
      <w:pPr>
        <w:pStyle w:val="NoSpacing"/>
        <w:rPr>
          <w:rFonts w:ascii="Palatino Linotype" w:hAnsi="Palatino Linotype"/>
        </w:rPr>
      </w:pPr>
      <w:r>
        <w:rPr>
          <w:noProof/>
        </w:rPr>
        <w:drawing>
          <wp:inline distT="0" distB="0" distL="0" distR="0" wp14:anchorId="4FB44760" wp14:editId="5223029E">
            <wp:extent cx="5457825" cy="781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34A3" w14:textId="77777777" w:rsidR="00CC382F" w:rsidRDefault="00CC382F" w:rsidP="00CC382F">
      <w:pPr>
        <w:pStyle w:val="NoSpacing"/>
        <w:rPr>
          <w:rFonts w:ascii="Palatino Linotype" w:hAnsi="Palatino Linotype"/>
        </w:rPr>
      </w:pPr>
    </w:p>
    <w:p w14:paraId="3E3C6E25" w14:textId="77777777" w:rsidR="00727EAE" w:rsidRDefault="00727EAE" w:rsidP="00B629F0">
      <w:pPr>
        <w:pStyle w:val="NoSpacing"/>
        <w:rPr>
          <w:rFonts w:ascii="Palatino Linotype" w:hAnsi="Palatino Linotype"/>
          <w:b/>
          <w:bCs/>
        </w:rPr>
      </w:pPr>
    </w:p>
    <w:p w14:paraId="6668D8FE" w14:textId="77777777" w:rsidR="00263A6A" w:rsidRDefault="00263A6A" w:rsidP="00B629F0">
      <w:pPr>
        <w:pStyle w:val="NoSpacing"/>
        <w:rPr>
          <w:rFonts w:ascii="Palatino Linotype" w:hAnsi="Palatino Linotype"/>
          <w:b/>
          <w:bCs/>
          <w:color w:val="C00000"/>
        </w:rPr>
      </w:pPr>
    </w:p>
    <w:p w14:paraId="721A1701" w14:textId="3972064F" w:rsidR="00727EAE" w:rsidRPr="00AC63DB" w:rsidRDefault="00727EAE" w:rsidP="00B629F0">
      <w:pPr>
        <w:pStyle w:val="NoSpacing"/>
        <w:rPr>
          <w:rFonts w:ascii="Palatino Linotype" w:hAnsi="Palatino Linotype"/>
          <w:b/>
          <w:bCs/>
          <w:color w:val="C00000"/>
        </w:rPr>
      </w:pPr>
      <w:r w:rsidRPr="00AC63DB">
        <w:rPr>
          <w:rFonts w:ascii="Palatino Linotype" w:hAnsi="Palatino Linotype"/>
          <w:b/>
          <w:bCs/>
          <w:color w:val="C00000"/>
        </w:rPr>
        <w:lastRenderedPageBreak/>
        <w:t>Duolingo English Test (DET)</w:t>
      </w:r>
    </w:p>
    <w:p w14:paraId="3A63B432" w14:textId="77777777" w:rsidR="00727EAE" w:rsidRDefault="00727EAE" w:rsidP="00B629F0">
      <w:pPr>
        <w:pStyle w:val="NoSpacing"/>
        <w:rPr>
          <w:rFonts w:ascii="Palatino Linotype" w:hAnsi="Palatino Linotype"/>
        </w:rPr>
      </w:pPr>
    </w:p>
    <w:p w14:paraId="6A16B288" w14:textId="61B83019" w:rsidR="00615F7A" w:rsidRDefault="00B75710" w:rsidP="00B629F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>We also propose</w:t>
      </w:r>
      <w:r w:rsidR="00A72D3C">
        <w:rPr>
          <w:rFonts w:ascii="Palatino Linotype" w:hAnsi="Palatino Linotype"/>
        </w:rPr>
        <w:t xml:space="preserve"> </w:t>
      </w:r>
      <w:r w:rsidR="0080239A">
        <w:rPr>
          <w:rFonts w:ascii="Palatino Linotype" w:hAnsi="Palatino Linotype"/>
        </w:rPr>
        <w:t>the</w:t>
      </w:r>
      <w:r w:rsidR="00A72D3C">
        <w:rPr>
          <w:rFonts w:ascii="Palatino Linotype" w:hAnsi="Palatino Linotype"/>
        </w:rPr>
        <w:t xml:space="preserve"> </w:t>
      </w:r>
      <w:r w:rsidR="00A72D3C" w:rsidRPr="00996476">
        <w:rPr>
          <w:rFonts w:ascii="Palatino Linotype" w:hAnsi="Palatino Linotype"/>
        </w:rPr>
        <w:t>Duolingo</w:t>
      </w:r>
      <w:r w:rsidR="00115153" w:rsidRPr="00996476">
        <w:rPr>
          <w:rFonts w:ascii="Palatino Linotype" w:hAnsi="Palatino Linotype"/>
        </w:rPr>
        <w:t xml:space="preserve"> English Test (DET)</w:t>
      </w:r>
      <w:r w:rsidR="00A72D3C">
        <w:rPr>
          <w:rFonts w:ascii="Palatino Linotype" w:hAnsi="Palatino Linotype"/>
        </w:rPr>
        <w:t xml:space="preserve"> as a supplemental assessment for use on a case-by-case basis with the understanding that additional assessments would be required upon the student’s arrival to campus.  </w:t>
      </w:r>
      <w:hyperlink r:id="rId15" w:history="1">
        <w:r w:rsidR="00615F7A" w:rsidRPr="009256FA">
          <w:rPr>
            <w:rStyle w:val="Hyperlink"/>
            <w:rFonts w:ascii="Palatino Linotype" w:hAnsi="Palatino Linotype"/>
          </w:rPr>
          <w:t>https://englishtest.duolingo.com/</w:t>
        </w:r>
      </w:hyperlink>
      <w:r w:rsidR="00615F7A">
        <w:rPr>
          <w:rFonts w:ascii="Palatino Linotype" w:hAnsi="Palatino Linotype"/>
        </w:rPr>
        <w:t xml:space="preserve"> </w:t>
      </w:r>
      <w:r w:rsidR="00615F7A">
        <w:rPr>
          <w:rFonts w:ascii="Palatino Linotype" w:hAnsi="Palatino Linotype"/>
        </w:rPr>
        <w:br/>
      </w:r>
    </w:p>
    <w:p w14:paraId="2C91D3C3" w14:textId="26140BD5" w:rsidR="00CC382F" w:rsidRDefault="00A72D3C" w:rsidP="00B629F0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Examples of when the </w:t>
      </w:r>
      <w:r w:rsidR="00615F7A">
        <w:rPr>
          <w:rFonts w:ascii="Palatino Linotype" w:hAnsi="Palatino Linotype"/>
        </w:rPr>
        <w:t>DET</w:t>
      </w:r>
      <w:r>
        <w:rPr>
          <w:rFonts w:ascii="Palatino Linotype" w:hAnsi="Palatino Linotype"/>
        </w:rPr>
        <w:t xml:space="preserve"> would be used:</w:t>
      </w:r>
    </w:p>
    <w:p w14:paraId="2E5B67BC" w14:textId="03A750B2" w:rsidR="00A72D3C" w:rsidRDefault="00A72D3C" w:rsidP="00B629F0">
      <w:pPr>
        <w:pStyle w:val="NoSpacing"/>
        <w:rPr>
          <w:rFonts w:ascii="Palatino Linotype" w:hAnsi="Palatino Linotype"/>
        </w:rPr>
      </w:pPr>
    </w:p>
    <w:p w14:paraId="44CF7563" w14:textId="2567CD62" w:rsidR="00A72D3C" w:rsidRDefault="00A72D3C" w:rsidP="00A72D3C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</w:t>
      </w:r>
      <w:r w:rsidR="00AD1598">
        <w:rPr>
          <w:rFonts w:ascii="Palatino Linotype" w:hAnsi="Palatino Linotype"/>
        </w:rPr>
        <w:t>applicants</w:t>
      </w:r>
      <w:r>
        <w:rPr>
          <w:rFonts w:ascii="Palatino Linotype" w:hAnsi="Palatino Linotype"/>
        </w:rPr>
        <w:t xml:space="preserve"> from countries that do not </w:t>
      </w:r>
      <w:r w:rsidR="00615F7A">
        <w:rPr>
          <w:rFonts w:ascii="Palatino Linotype" w:hAnsi="Palatino Linotype"/>
        </w:rPr>
        <w:t>admin</w:t>
      </w:r>
      <w:r w:rsidR="00727EAE">
        <w:rPr>
          <w:rFonts w:ascii="Palatino Linotype" w:hAnsi="Palatino Linotype"/>
        </w:rPr>
        <w:t>i</w:t>
      </w:r>
      <w:r w:rsidR="00615F7A">
        <w:rPr>
          <w:rFonts w:ascii="Palatino Linotype" w:hAnsi="Palatino Linotype"/>
        </w:rPr>
        <w:t>ster</w:t>
      </w:r>
      <w:r>
        <w:rPr>
          <w:rFonts w:ascii="Palatino Linotype" w:hAnsi="Palatino Linotype"/>
        </w:rPr>
        <w:t xml:space="preserve"> </w:t>
      </w:r>
      <w:r w:rsidR="00AD1598">
        <w:rPr>
          <w:rFonts w:ascii="Palatino Linotype" w:hAnsi="Palatino Linotype"/>
        </w:rPr>
        <w:t xml:space="preserve">our </w:t>
      </w:r>
      <w:r>
        <w:rPr>
          <w:rFonts w:ascii="Palatino Linotype" w:hAnsi="Palatino Linotype"/>
        </w:rPr>
        <w:t xml:space="preserve">approved English language exams (e.g. TOEFL, IELTS) due to political (e.g. Syria, Cuba) </w:t>
      </w:r>
      <w:r w:rsidR="00AD1598">
        <w:rPr>
          <w:rFonts w:ascii="Palatino Linotype" w:hAnsi="Palatino Linotype"/>
        </w:rPr>
        <w:t>reasons.</w:t>
      </w:r>
    </w:p>
    <w:p w14:paraId="79E2A2B3" w14:textId="02848355" w:rsidR="003D2258" w:rsidRDefault="003D2258" w:rsidP="00A72D3C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</w:t>
      </w:r>
      <w:r w:rsidR="00AD1598">
        <w:rPr>
          <w:rFonts w:ascii="Palatino Linotype" w:hAnsi="Palatino Linotype"/>
        </w:rPr>
        <w:t>applicants</w:t>
      </w:r>
      <w:r>
        <w:rPr>
          <w:rFonts w:ascii="Palatino Linotype" w:hAnsi="Palatino Linotype"/>
        </w:rPr>
        <w:t xml:space="preserve"> from countries that temporarily suspend administration of English language exams (e.g. TOEFL, IELTS) due to health concerns (e.g. China, Macau, Hong Kong)</w:t>
      </w:r>
      <w:r w:rsidR="00AD1598">
        <w:rPr>
          <w:rFonts w:ascii="Palatino Linotype" w:hAnsi="Palatino Linotype"/>
        </w:rPr>
        <w:t xml:space="preserve"> or catastrophic events.</w:t>
      </w:r>
    </w:p>
    <w:p w14:paraId="1C556CC9" w14:textId="4F765239" w:rsidR="00AD1598" w:rsidRDefault="00AD1598" w:rsidP="00AD1598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For applicants whose TOEFL/IELTS/</w:t>
      </w:r>
      <w:proofErr w:type="spellStart"/>
      <w:r>
        <w:rPr>
          <w:rFonts w:ascii="Palatino Linotype" w:hAnsi="Palatino Linotype"/>
        </w:rPr>
        <w:t>etc</w:t>
      </w:r>
      <w:proofErr w:type="spellEnd"/>
      <w:r>
        <w:rPr>
          <w:rFonts w:ascii="Palatino Linotype" w:hAnsi="Palatino Linotype"/>
        </w:rPr>
        <w:t xml:space="preserve"> have recently expired and they are currently living</w:t>
      </w:r>
      <w:r w:rsidR="00433DFD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working</w:t>
      </w:r>
      <w:r w:rsidR="00433DFD">
        <w:rPr>
          <w:rFonts w:ascii="Palatino Linotype" w:hAnsi="Palatino Linotype"/>
        </w:rPr>
        <w:t>, or studying</w:t>
      </w:r>
      <w:r>
        <w:rPr>
          <w:rFonts w:ascii="Palatino Linotype" w:hAnsi="Palatino Linotype"/>
        </w:rPr>
        <w:t xml:space="preserve"> in </w:t>
      </w:r>
      <w:r w:rsidR="00727EAE">
        <w:rPr>
          <w:rFonts w:ascii="Palatino Linotype" w:hAnsi="Palatino Linotype"/>
        </w:rPr>
        <w:t>a country where English is the native language</w:t>
      </w:r>
      <w:r w:rsidRPr="00AD1598">
        <w:rPr>
          <w:rFonts w:ascii="Palatino Linotype" w:hAnsi="Palatino Linotype"/>
        </w:rPr>
        <w:t>.</w:t>
      </w:r>
    </w:p>
    <w:p w14:paraId="6D0E0B19" w14:textId="2629477A" w:rsidR="00AD1598" w:rsidRDefault="00AD1598" w:rsidP="00AD1598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applicants who have </w:t>
      </w:r>
      <w:r w:rsidR="00433DFD">
        <w:rPr>
          <w:rFonts w:ascii="Palatino Linotype" w:hAnsi="Palatino Linotype"/>
        </w:rPr>
        <w:t xml:space="preserve">a </w:t>
      </w:r>
      <w:r>
        <w:rPr>
          <w:rFonts w:ascii="Palatino Linotype" w:hAnsi="Palatino Linotype"/>
        </w:rPr>
        <w:t>U.S. masters</w:t>
      </w:r>
      <w:r w:rsidR="00433DFD">
        <w:rPr>
          <w:rFonts w:ascii="Palatino Linotype" w:hAnsi="Palatino Linotype"/>
        </w:rPr>
        <w:t>’</w:t>
      </w:r>
      <w:r>
        <w:rPr>
          <w:rFonts w:ascii="Palatino Linotype" w:hAnsi="Palatino Linotype"/>
        </w:rPr>
        <w:t xml:space="preserve"> degree</w:t>
      </w:r>
      <w:r w:rsidR="00433DFD">
        <w:rPr>
          <w:rFonts w:ascii="Palatino Linotype" w:hAnsi="Palatino Linotype"/>
        </w:rPr>
        <w:t xml:space="preserve"> but have not lived/worked</w:t>
      </w:r>
      <w:r w:rsidR="00727EAE">
        <w:rPr>
          <w:rFonts w:ascii="Palatino Linotype" w:hAnsi="Palatino Linotype"/>
        </w:rPr>
        <w:t>/studied</w:t>
      </w:r>
      <w:r w:rsidR="00433DFD">
        <w:rPr>
          <w:rFonts w:ascii="Palatino Linotype" w:hAnsi="Palatino Linotype"/>
        </w:rPr>
        <w:t xml:space="preserve"> in a</w:t>
      </w:r>
    </w:p>
    <w:p w14:paraId="21111370" w14:textId="4C136EC3" w:rsidR="00433DFD" w:rsidRDefault="00433DFD" w:rsidP="00433DFD">
      <w:pPr>
        <w:pStyle w:val="NoSpacing"/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country where English is the native language with</w:t>
      </w:r>
      <w:r w:rsidR="00727EAE">
        <w:rPr>
          <w:rFonts w:ascii="Palatino Linotype" w:hAnsi="Palatino Linotype"/>
        </w:rPr>
        <w:t>in</w:t>
      </w:r>
      <w:r>
        <w:rPr>
          <w:rFonts w:ascii="Palatino Linotype" w:hAnsi="Palatino Linotype"/>
        </w:rPr>
        <w:t xml:space="preserve"> five years after graduation.</w:t>
      </w:r>
    </w:p>
    <w:p w14:paraId="0919F8B2" w14:textId="79848D69" w:rsidR="00433DFD" w:rsidRDefault="00433DFD" w:rsidP="00433DFD">
      <w:pPr>
        <w:pStyle w:val="NoSpacing"/>
        <w:numPr>
          <w:ilvl w:val="0"/>
          <w:numId w:val="11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For applicants recruited by UA faculty without </w:t>
      </w:r>
      <w:proofErr w:type="gramStart"/>
      <w:r>
        <w:rPr>
          <w:rFonts w:ascii="Palatino Linotype" w:hAnsi="Palatino Linotype"/>
        </w:rPr>
        <w:t>sufficient</w:t>
      </w:r>
      <w:proofErr w:type="gramEnd"/>
      <w:r>
        <w:rPr>
          <w:rFonts w:ascii="Palatino Linotype" w:hAnsi="Palatino Linotype"/>
        </w:rPr>
        <w:t xml:space="preserve"> time to register for/and complete one of our approved English language assessment examinations. </w:t>
      </w:r>
    </w:p>
    <w:p w14:paraId="6D31F32C" w14:textId="304ACCE8" w:rsidR="00433DFD" w:rsidRDefault="00433DFD" w:rsidP="00433DFD">
      <w:pPr>
        <w:pStyle w:val="NoSpacing"/>
        <w:rPr>
          <w:rFonts w:ascii="Palatino Linotype" w:hAnsi="Palatino Linotype"/>
        </w:rPr>
      </w:pPr>
    </w:p>
    <w:p w14:paraId="7755860B" w14:textId="64F93E06" w:rsidR="005E481A" w:rsidRDefault="00615F7A" w:rsidP="00433DFD">
      <w:pPr>
        <w:pStyle w:val="NoSpacing"/>
        <w:rPr>
          <w:rFonts w:ascii="Palatino Linotype" w:hAnsi="Palatino Linotype"/>
        </w:rPr>
      </w:pPr>
      <w:r w:rsidRPr="00727EAE">
        <w:rPr>
          <w:rFonts w:ascii="Palatino Linotype" w:hAnsi="Palatino Linotype"/>
          <w:i/>
          <w:iCs/>
        </w:rPr>
        <w:t>Rationale</w:t>
      </w:r>
      <w:r>
        <w:rPr>
          <w:rFonts w:ascii="Palatino Linotype" w:hAnsi="Palatino Linotype"/>
        </w:rPr>
        <w:t xml:space="preserve"> for use as a supplemental measure:   </w:t>
      </w:r>
    </w:p>
    <w:p w14:paraId="48CD5DB2" w14:textId="77777777" w:rsidR="0080239A" w:rsidRDefault="0080239A" w:rsidP="00433DFD">
      <w:pPr>
        <w:pStyle w:val="NoSpacing"/>
        <w:rPr>
          <w:rFonts w:ascii="Palatino Linotype" w:hAnsi="Palatino Linotype"/>
        </w:rPr>
      </w:pPr>
    </w:p>
    <w:p w14:paraId="40A3A5BD" w14:textId="1865EE94" w:rsidR="00433DFD" w:rsidRPr="00615F7A" w:rsidRDefault="00433DFD" w:rsidP="005E481A">
      <w:pPr>
        <w:pStyle w:val="NoSpacing"/>
        <w:numPr>
          <w:ilvl w:val="0"/>
          <w:numId w:val="12"/>
        </w:numPr>
        <w:rPr>
          <w:rFonts w:ascii="Palatino Linotype" w:hAnsi="Palatino Linotype"/>
        </w:rPr>
      </w:pPr>
      <w:r w:rsidRPr="00615F7A">
        <w:rPr>
          <w:rFonts w:ascii="Palatino Linotype" w:hAnsi="Palatino Linotype"/>
        </w:rPr>
        <w:t>is on-line and can be taken anywher</w:t>
      </w:r>
      <w:r w:rsidR="005E481A" w:rsidRPr="00615F7A">
        <w:rPr>
          <w:rFonts w:ascii="Palatino Linotype" w:hAnsi="Palatino Linotype"/>
        </w:rPr>
        <w:t>e, any time</w:t>
      </w:r>
      <w:r w:rsidR="00115153" w:rsidRPr="00615F7A">
        <w:rPr>
          <w:rFonts w:ascii="Palatino Linotype" w:hAnsi="Palatino Linotype"/>
        </w:rPr>
        <w:t xml:space="preserve"> with reliable internet access and a webcam-enabled computer.</w:t>
      </w:r>
      <w:r w:rsidR="00615F7A" w:rsidRPr="00615F7A">
        <w:rPr>
          <w:rFonts w:ascii="Palatino Linotype" w:hAnsi="Palatino Linotype"/>
        </w:rPr>
        <w:t xml:space="preserve"> It is an adaptive test taking 55 minutes to complete.</w:t>
      </w:r>
    </w:p>
    <w:p w14:paraId="310AD781" w14:textId="60D2A40E" w:rsidR="00115153" w:rsidRPr="00615F7A" w:rsidRDefault="00615F7A" w:rsidP="00115153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615F7A">
        <w:rPr>
          <w:rFonts w:ascii="Palatino Linotype" w:hAnsi="Palatino Linotype" w:cs="Arial"/>
        </w:rPr>
        <w:t>Developed in 2014</w:t>
      </w:r>
      <w:r w:rsidR="005E481A" w:rsidRPr="00615F7A">
        <w:rPr>
          <w:rFonts w:ascii="Palatino Linotype" w:hAnsi="Palatino Linotype" w:cs="Arial"/>
        </w:rPr>
        <w:t xml:space="preserve">. Results are available </w:t>
      </w:r>
      <w:r w:rsidR="00115153" w:rsidRPr="00615F7A">
        <w:rPr>
          <w:rFonts w:ascii="Palatino Linotype" w:hAnsi="Palatino Linotype" w:cs="Arial"/>
        </w:rPr>
        <w:t xml:space="preserve">within </w:t>
      </w:r>
      <w:r w:rsidR="005E481A" w:rsidRPr="00615F7A">
        <w:rPr>
          <w:rFonts w:ascii="Palatino Linotype" w:hAnsi="Palatino Linotype" w:cs="Arial"/>
        </w:rPr>
        <w:t xml:space="preserve">48 hours. </w:t>
      </w:r>
      <w:r w:rsidR="00115153" w:rsidRPr="00615F7A">
        <w:rPr>
          <w:rFonts w:ascii="Palatino Linotype" w:hAnsi="Palatino Linotype" w:cs="Arial"/>
        </w:rPr>
        <w:t>500</w:t>
      </w:r>
      <w:r w:rsidR="005E481A" w:rsidRPr="00615F7A">
        <w:rPr>
          <w:rFonts w:ascii="Palatino Linotype" w:hAnsi="Palatino Linotype" w:cs="Arial"/>
        </w:rPr>
        <w:t>+ universities</w:t>
      </w:r>
      <w:r w:rsidR="00115153" w:rsidRPr="00615F7A">
        <w:rPr>
          <w:rFonts w:ascii="Palatino Linotype" w:hAnsi="Palatino Linotype" w:cs="Arial"/>
        </w:rPr>
        <w:t xml:space="preserve"> worldwide</w:t>
      </w:r>
      <w:r w:rsidR="005E481A" w:rsidRPr="00615F7A">
        <w:rPr>
          <w:rFonts w:ascii="Palatino Linotype" w:hAnsi="Palatino Linotype" w:cs="Arial"/>
        </w:rPr>
        <w:t xml:space="preserve"> accept the </w:t>
      </w:r>
      <w:r w:rsidR="00115153" w:rsidRPr="00615F7A">
        <w:rPr>
          <w:rFonts w:ascii="Palatino Linotype" w:hAnsi="Palatino Linotype" w:cs="Arial"/>
        </w:rPr>
        <w:t xml:space="preserve">DET </w:t>
      </w:r>
      <w:r w:rsidR="005E481A" w:rsidRPr="00615F7A">
        <w:rPr>
          <w:rFonts w:ascii="Palatino Linotype" w:hAnsi="Palatino Linotype" w:cs="Arial"/>
        </w:rPr>
        <w:t xml:space="preserve">for admissions. </w:t>
      </w:r>
      <w:r w:rsidRPr="00615F7A">
        <w:rPr>
          <w:rFonts w:ascii="Palatino Linotype" w:hAnsi="Palatino Linotype" w:cs="Arial"/>
        </w:rPr>
        <w:t xml:space="preserve">University of Arizona, Arizona State, University of Alabama, Columbia University, Bowdoin, Colby and Middlebury Colleges are examples of U.S. institutions who accept the DET. </w:t>
      </w:r>
    </w:p>
    <w:p w14:paraId="2D7BFC89" w14:textId="36EA9D6E" w:rsidR="005E481A" w:rsidRDefault="00115153" w:rsidP="00115153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615F7A">
        <w:rPr>
          <w:rFonts w:ascii="Palatino Linotype" w:hAnsi="Palatino Linotype"/>
        </w:rPr>
        <w:t>The Duolingo English Test is designed to assess real-world language ability, by measuring reading, writing, speaking, and listening skills. Each test taker's proficiency is reported as a holistic score on a scale from 10 – 160.</w:t>
      </w:r>
    </w:p>
    <w:p w14:paraId="61A65C1A" w14:textId="5845FC05" w:rsidR="00615F7A" w:rsidRDefault="00615F7A" w:rsidP="00615F7A">
      <w:pPr>
        <w:ind w:left="420"/>
        <w:rPr>
          <w:rFonts w:ascii="Palatino Linotype" w:hAnsi="Palatino Linotype"/>
        </w:rPr>
      </w:pPr>
      <w:r>
        <w:rPr>
          <w:rFonts w:ascii="Palatino Linotype" w:hAnsi="Palatino Linotype"/>
        </w:rPr>
        <w:t>Cost:  $49.00</w:t>
      </w:r>
    </w:p>
    <w:p w14:paraId="0FE22582" w14:textId="3CD272F7" w:rsidR="00AC63DB" w:rsidRDefault="00AC63DB" w:rsidP="00615F7A">
      <w:pPr>
        <w:ind w:left="420"/>
        <w:rPr>
          <w:rFonts w:ascii="Palatino Linotype" w:hAnsi="Palatino Linotype"/>
        </w:rPr>
      </w:pPr>
      <w:r>
        <w:rPr>
          <w:noProof/>
        </w:rPr>
        <w:lastRenderedPageBreak/>
        <w:drawing>
          <wp:inline distT="0" distB="0" distL="0" distR="0" wp14:anchorId="70914F6F" wp14:editId="0C3A3AAF">
            <wp:extent cx="5943600" cy="62566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C5200" w14:textId="77777777" w:rsidR="00AC63DB" w:rsidRPr="00615F7A" w:rsidRDefault="00AC63DB" w:rsidP="00615F7A">
      <w:pPr>
        <w:ind w:left="420"/>
        <w:rPr>
          <w:rFonts w:ascii="Palatino Linotype" w:hAnsi="Palatino Linotype"/>
        </w:rPr>
      </w:pPr>
    </w:p>
    <w:sectPr w:rsidR="00AC63DB" w:rsidRPr="00615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804"/>
    <w:multiLevelType w:val="hybridMultilevel"/>
    <w:tmpl w:val="4846FC12"/>
    <w:lvl w:ilvl="0" w:tplc="1BD28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AFB"/>
    <w:multiLevelType w:val="hybridMultilevel"/>
    <w:tmpl w:val="0BA4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36D"/>
    <w:multiLevelType w:val="hybridMultilevel"/>
    <w:tmpl w:val="772EBCEC"/>
    <w:lvl w:ilvl="0" w:tplc="485E8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20BC"/>
    <w:multiLevelType w:val="hybridMultilevel"/>
    <w:tmpl w:val="59FA2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F0992"/>
    <w:multiLevelType w:val="hybridMultilevel"/>
    <w:tmpl w:val="6144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C9A"/>
    <w:multiLevelType w:val="hybridMultilevel"/>
    <w:tmpl w:val="C8B68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036AF3"/>
    <w:multiLevelType w:val="hybridMultilevel"/>
    <w:tmpl w:val="5DB0B8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94F7BC0"/>
    <w:multiLevelType w:val="hybridMultilevel"/>
    <w:tmpl w:val="74C6360E"/>
    <w:lvl w:ilvl="0" w:tplc="F3DCF0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80B8E"/>
    <w:multiLevelType w:val="hybridMultilevel"/>
    <w:tmpl w:val="30BAB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328C2"/>
    <w:multiLevelType w:val="hybridMultilevel"/>
    <w:tmpl w:val="87E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51F1C"/>
    <w:multiLevelType w:val="hybridMultilevel"/>
    <w:tmpl w:val="10421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20CA0"/>
    <w:multiLevelType w:val="hybridMultilevel"/>
    <w:tmpl w:val="0F34A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E1DAA"/>
    <w:multiLevelType w:val="hybridMultilevel"/>
    <w:tmpl w:val="7F3ECA30"/>
    <w:lvl w:ilvl="0" w:tplc="612A1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C22"/>
    <w:rsid w:val="000878C0"/>
    <w:rsid w:val="00115153"/>
    <w:rsid w:val="00131347"/>
    <w:rsid w:val="001B63C3"/>
    <w:rsid w:val="001C1D2D"/>
    <w:rsid w:val="00243FC3"/>
    <w:rsid w:val="00263A6A"/>
    <w:rsid w:val="003510C0"/>
    <w:rsid w:val="003D2258"/>
    <w:rsid w:val="00433DFD"/>
    <w:rsid w:val="00454D13"/>
    <w:rsid w:val="0047453B"/>
    <w:rsid w:val="00566DE2"/>
    <w:rsid w:val="00591D3E"/>
    <w:rsid w:val="005A5D3C"/>
    <w:rsid w:val="005E481A"/>
    <w:rsid w:val="00615F7A"/>
    <w:rsid w:val="006C5D07"/>
    <w:rsid w:val="006D5FC9"/>
    <w:rsid w:val="00727EAE"/>
    <w:rsid w:val="007766E2"/>
    <w:rsid w:val="007D10C1"/>
    <w:rsid w:val="0080239A"/>
    <w:rsid w:val="0081106C"/>
    <w:rsid w:val="008A25E8"/>
    <w:rsid w:val="008C4922"/>
    <w:rsid w:val="009249AE"/>
    <w:rsid w:val="00936C22"/>
    <w:rsid w:val="00937EC0"/>
    <w:rsid w:val="0095657C"/>
    <w:rsid w:val="009869E0"/>
    <w:rsid w:val="00996476"/>
    <w:rsid w:val="00A72D3C"/>
    <w:rsid w:val="00A941A6"/>
    <w:rsid w:val="00AC63DB"/>
    <w:rsid w:val="00AD1598"/>
    <w:rsid w:val="00AD77CE"/>
    <w:rsid w:val="00B6194E"/>
    <w:rsid w:val="00B629F0"/>
    <w:rsid w:val="00B75710"/>
    <w:rsid w:val="00B956F2"/>
    <w:rsid w:val="00BD50F1"/>
    <w:rsid w:val="00C76C21"/>
    <w:rsid w:val="00CC382F"/>
    <w:rsid w:val="00D27365"/>
    <w:rsid w:val="00D45D92"/>
    <w:rsid w:val="00E46DEC"/>
    <w:rsid w:val="00F52C14"/>
    <w:rsid w:val="00FE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7BC8"/>
  <w15:chartTrackingRefBased/>
  <w15:docId w15:val="{A927C657-7F10-420B-9BAD-7DE28D12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C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C22"/>
    <w:pPr>
      <w:ind w:left="720"/>
      <w:contextualSpacing/>
    </w:pPr>
  </w:style>
  <w:style w:type="paragraph" w:styleId="NoSpacing">
    <w:name w:val="No Spacing"/>
    <w:uiPriority w:val="1"/>
    <w:qFormat/>
    <w:rsid w:val="000878C0"/>
    <w:pPr>
      <w:spacing w:after="0" w:line="240" w:lineRule="auto"/>
    </w:pPr>
  </w:style>
  <w:style w:type="character" w:customStyle="1" w:styleId="st">
    <w:name w:val="st"/>
    <w:basedOn w:val="DefaultParagraphFont"/>
    <w:rsid w:val="008A25E8"/>
  </w:style>
  <w:style w:type="character" w:styleId="Emphasis">
    <w:name w:val="Emphasis"/>
    <w:basedOn w:val="DefaultParagraphFont"/>
    <w:uiPriority w:val="20"/>
    <w:qFormat/>
    <w:rsid w:val="008A25E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4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tepexam.com/products/itepacademic/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s://international-admissions.uark.edu/graduate-studies/english-proficiency.php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englishtest.duolingo.com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cambridgeenglish.org/exams-and-tests/advanced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AC4C5-C880-4D51-B77F-9875BD92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Mosesso</dc:creator>
  <cp:keywords/>
  <dc:description/>
  <cp:lastModifiedBy>Patricia R. Koski</cp:lastModifiedBy>
  <cp:revision>2</cp:revision>
  <dcterms:created xsi:type="dcterms:W3CDTF">2020-02-07T14:51:00Z</dcterms:created>
  <dcterms:modified xsi:type="dcterms:W3CDTF">2020-02-07T14:51:00Z</dcterms:modified>
</cp:coreProperties>
</file>